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C6" w:rsidRPr="00323B97" w:rsidRDefault="00D12F39" w:rsidP="00E44E07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drawing>
          <wp:inline distT="0" distB="0" distL="0" distR="0">
            <wp:extent cx="4033520" cy="1590675"/>
            <wp:effectExtent l="0" t="0" r="508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61" w:rsidRDefault="00987461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C52D10" w:rsidRPr="005B6BC6" w:rsidRDefault="00C52D10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227232" w:rsidTr="004A7423">
        <w:trPr>
          <w:trHeight w:val="415"/>
        </w:trPr>
        <w:tc>
          <w:tcPr>
            <w:tcW w:w="9645" w:type="dxa"/>
          </w:tcPr>
          <w:p w:rsidR="00C436B3" w:rsidRPr="00227232" w:rsidRDefault="005C2188" w:rsidP="00C34AA0">
            <w:pPr>
              <w:spacing w:after="120"/>
              <w:rPr>
                <w:sz w:val="24"/>
                <w:szCs w:val="24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</w:t>
            </w:r>
            <w:r w:rsidR="004A7423" w:rsidRPr="004A7423">
              <w:rPr>
                <w:sz w:val="24"/>
                <w:szCs w:val="24"/>
              </w:rPr>
              <w:t>т</w:t>
            </w:r>
            <w:bookmarkEnd w:id="0"/>
            <w:r w:rsidR="00762AAF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                               "/>
                    <w:maxLength w:val="40"/>
                  </w:textInput>
                </w:ffData>
              </w:fldChar>
            </w:r>
            <w:r w:rsidR="00762AAF">
              <w:rPr>
                <w:sz w:val="24"/>
                <w:szCs w:val="24"/>
                <w:u w:val="single"/>
              </w:rPr>
              <w:instrText xml:space="preserve"> FORMTEXT </w:instrText>
            </w:r>
            <w:r w:rsidR="00762AAF">
              <w:rPr>
                <w:sz w:val="24"/>
                <w:szCs w:val="24"/>
                <w:u w:val="single"/>
              </w:rPr>
            </w:r>
            <w:r w:rsidR="00762AAF">
              <w:rPr>
                <w:sz w:val="24"/>
                <w:szCs w:val="24"/>
                <w:u w:val="single"/>
              </w:rPr>
              <w:fldChar w:fldCharType="separate"/>
            </w:r>
            <w:r w:rsidR="00762AAF">
              <w:rPr>
                <w:noProof/>
                <w:sz w:val="24"/>
                <w:szCs w:val="24"/>
                <w:u w:val="single"/>
              </w:rPr>
              <w:t xml:space="preserve">                                       </w:t>
            </w:r>
            <w:r w:rsidR="00762AAF">
              <w:rPr>
                <w:sz w:val="24"/>
                <w:szCs w:val="24"/>
                <w:u w:val="single"/>
              </w:rPr>
              <w:fldChar w:fldCharType="end"/>
            </w:r>
            <w:r w:rsidR="00C436B3" w:rsidRPr="00227232">
              <w:rPr>
                <w:sz w:val="24"/>
                <w:szCs w:val="24"/>
              </w:rPr>
              <w:t xml:space="preserve"> №</w:t>
            </w:r>
            <w:r w:rsidR="00B439F1" w:rsidRPr="00227232">
              <w:rPr>
                <w:sz w:val="24"/>
                <w:szCs w:val="24"/>
              </w:rPr>
              <w:t xml:space="preserve"> </w:t>
            </w:r>
            <w:bookmarkStart w:id="1" w:name="Номер"/>
            <w:r w:rsidR="006323CA" w:rsidRPr="00227232">
              <w:rPr>
                <w:sz w:val="24"/>
                <w:szCs w:val="24"/>
              </w:rPr>
              <w:fldChar w:fldCharType="begin"/>
            </w:r>
            <w:r w:rsidR="006323CA" w:rsidRPr="00227232">
              <w:rPr>
                <w:sz w:val="24"/>
                <w:szCs w:val="24"/>
              </w:rPr>
              <w:instrText xml:space="preserve"> ASK  ТекстовоеПоле3 " "  \* MERGEFORMAT </w:instrText>
            </w:r>
            <w:r w:rsidR="006323CA" w:rsidRPr="00227232">
              <w:rPr>
                <w:sz w:val="24"/>
                <w:szCs w:val="24"/>
              </w:rPr>
              <w:fldChar w:fldCharType="separate"/>
            </w:r>
            <w:bookmarkStart w:id="2" w:name="ТекстовоеПоле3"/>
            <w:r w:rsidR="006323CA" w:rsidRPr="00227232">
              <w:rPr>
                <w:sz w:val="24"/>
                <w:szCs w:val="24"/>
              </w:rPr>
              <w:t xml:space="preserve">  </w:t>
            </w:r>
            <w:bookmarkEnd w:id="2"/>
            <w:r w:rsidR="006323CA" w:rsidRPr="00227232">
              <w:rPr>
                <w:sz w:val="24"/>
                <w:szCs w:val="24"/>
              </w:rPr>
              <w:fldChar w:fldCharType="end"/>
            </w:r>
            <w:r w:rsidR="00B7552F" w:rsidRPr="00227232">
              <w:rPr>
                <w:sz w:val="24"/>
                <w:szCs w:val="24"/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                              "/>
                    <w:maxLength w:val="30"/>
                  </w:textInput>
                </w:ffData>
              </w:fldChar>
            </w:r>
            <w:r w:rsidR="00AF4C2D" w:rsidRPr="00227232">
              <w:rPr>
                <w:sz w:val="24"/>
                <w:szCs w:val="24"/>
                <w:u w:val="single"/>
              </w:rPr>
              <w:instrText xml:space="preserve"> FORMTEXT </w:instrText>
            </w:r>
            <w:r w:rsidR="00B7552F" w:rsidRPr="00227232">
              <w:rPr>
                <w:sz w:val="24"/>
                <w:szCs w:val="24"/>
                <w:u w:val="single"/>
              </w:rPr>
            </w:r>
            <w:r w:rsidR="00B7552F" w:rsidRPr="00227232">
              <w:rPr>
                <w:sz w:val="24"/>
                <w:szCs w:val="24"/>
                <w:u w:val="single"/>
              </w:rPr>
              <w:fldChar w:fldCharType="separate"/>
            </w:r>
            <w:r w:rsidR="00AF4C2D" w:rsidRPr="00227232">
              <w:rPr>
                <w:noProof/>
                <w:sz w:val="24"/>
                <w:szCs w:val="24"/>
                <w:u w:val="single"/>
              </w:rPr>
              <w:t>                              </w:t>
            </w:r>
            <w:r w:rsidR="00B7552F" w:rsidRPr="00227232">
              <w:rPr>
                <w:sz w:val="24"/>
                <w:szCs w:val="24"/>
                <w:u w:val="single"/>
              </w:rPr>
              <w:fldChar w:fldCharType="end"/>
            </w:r>
            <w:bookmarkEnd w:id="1"/>
          </w:p>
          <w:p w:rsidR="00C436B3" w:rsidRPr="00227232" w:rsidRDefault="00C436B3" w:rsidP="004A7423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1C0F0B" w:rsidRDefault="00D12F39" w:rsidP="002F0DD4">
      <w:pPr>
        <w:ind w:right="4712"/>
        <w:jc w:val="both"/>
        <w:rPr>
          <w:sz w:val="24"/>
          <w:szCs w:val="24"/>
        </w:rPr>
      </w:pPr>
      <w:r w:rsidRPr="00D12F39">
        <w:rPr>
          <w:sz w:val="24"/>
          <w:szCs w:val="24"/>
        </w:rPr>
        <w:t>О</w:t>
      </w:r>
      <w:r w:rsidR="001C0F0B">
        <w:rPr>
          <w:sz w:val="24"/>
          <w:szCs w:val="24"/>
        </w:rPr>
        <w:t xml:space="preserve">б </w:t>
      </w:r>
      <w:r w:rsidR="00275D1A">
        <w:rPr>
          <w:sz w:val="24"/>
          <w:szCs w:val="24"/>
        </w:rPr>
        <w:t xml:space="preserve">отдельных вопросах, связанных с предоставлением </w:t>
      </w:r>
      <w:r w:rsidR="001C0F0B">
        <w:rPr>
          <w:sz w:val="24"/>
          <w:szCs w:val="24"/>
        </w:rPr>
        <w:t>муниципальных гарантий</w:t>
      </w:r>
      <w:r w:rsidR="00275D1A">
        <w:rPr>
          <w:sz w:val="24"/>
          <w:szCs w:val="24"/>
        </w:rPr>
        <w:t xml:space="preserve"> администрации </w:t>
      </w:r>
      <w:proofErr w:type="spellStart"/>
      <w:r w:rsidR="00275D1A">
        <w:rPr>
          <w:sz w:val="24"/>
          <w:szCs w:val="24"/>
        </w:rPr>
        <w:t>Корсаковского</w:t>
      </w:r>
      <w:proofErr w:type="spellEnd"/>
      <w:r w:rsidR="00275D1A">
        <w:rPr>
          <w:sz w:val="24"/>
          <w:szCs w:val="24"/>
        </w:rPr>
        <w:t xml:space="preserve"> городского округа</w:t>
      </w:r>
    </w:p>
    <w:p w:rsidR="00987461" w:rsidRPr="00227232" w:rsidRDefault="00987461" w:rsidP="00DC2026">
      <w:pPr>
        <w:jc w:val="both"/>
        <w:rPr>
          <w:sz w:val="24"/>
          <w:szCs w:val="24"/>
        </w:rPr>
      </w:pPr>
    </w:p>
    <w:p w:rsidR="00DC2026" w:rsidRPr="00227232" w:rsidRDefault="00DC2026" w:rsidP="00836E4B">
      <w:pPr>
        <w:spacing w:after="100" w:afterAutospacing="1"/>
        <w:rPr>
          <w:sz w:val="24"/>
          <w:szCs w:val="24"/>
        </w:rPr>
        <w:sectPr w:rsidR="00DC2026" w:rsidRPr="00227232" w:rsidSect="00987B82">
          <w:headerReference w:type="default" r:id="rId10"/>
          <w:headerReference w:type="first" r:id="rId11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:rsidR="00211112" w:rsidRPr="00D12F39" w:rsidRDefault="00211112" w:rsidP="003663F5">
      <w:pPr>
        <w:spacing w:before="120" w:line="192" w:lineRule="auto"/>
        <w:ind w:left="4774"/>
        <w:jc w:val="right"/>
        <w:rPr>
          <w:sz w:val="24"/>
          <w:szCs w:val="24"/>
        </w:rPr>
      </w:pPr>
    </w:p>
    <w:p w:rsidR="00211112" w:rsidRPr="00227232" w:rsidRDefault="00211112" w:rsidP="00211112">
      <w:pPr>
        <w:spacing w:line="360" w:lineRule="auto"/>
        <w:ind w:left="4536"/>
        <w:jc w:val="both"/>
        <w:rPr>
          <w:sz w:val="24"/>
          <w:szCs w:val="24"/>
        </w:rPr>
        <w:sectPr w:rsidR="00211112" w:rsidRPr="00227232" w:rsidSect="00836E4B">
          <w:type w:val="continuous"/>
          <w:pgSz w:w="11907" w:h="16840"/>
          <w:pgMar w:top="1276" w:right="708" w:bottom="1418" w:left="1701" w:header="567" w:footer="1021" w:gutter="0"/>
          <w:cols w:space="720"/>
          <w:titlePg/>
        </w:sectPr>
      </w:pPr>
    </w:p>
    <w:p w:rsidR="002F55AA" w:rsidRDefault="00D12F39" w:rsidP="002F55AA">
      <w:pPr>
        <w:ind w:firstLine="709"/>
        <w:jc w:val="both"/>
        <w:rPr>
          <w:sz w:val="24"/>
          <w:szCs w:val="24"/>
        </w:rPr>
      </w:pPr>
      <w:r w:rsidRPr="00D12F39">
        <w:rPr>
          <w:sz w:val="24"/>
          <w:szCs w:val="24"/>
        </w:rPr>
        <w:lastRenderedPageBreak/>
        <w:t>В соответствии с</w:t>
      </w:r>
      <w:r w:rsidR="001C0F0B">
        <w:rPr>
          <w:sz w:val="24"/>
          <w:szCs w:val="24"/>
        </w:rPr>
        <w:t>о стать</w:t>
      </w:r>
      <w:r w:rsidR="0032439B">
        <w:rPr>
          <w:sz w:val="24"/>
          <w:szCs w:val="24"/>
        </w:rPr>
        <w:t>ями 115.2</w:t>
      </w:r>
      <w:r w:rsidR="005E2739">
        <w:rPr>
          <w:sz w:val="24"/>
          <w:szCs w:val="24"/>
        </w:rPr>
        <w:t>, 115.3</w:t>
      </w:r>
      <w:r w:rsidR="0032439B">
        <w:rPr>
          <w:sz w:val="24"/>
          <w:szCs w:val="24"/>
        </w:rPr>
        <w:t xml:space="preserve"> </w:t>
      </w:r>
      <w:r w:rsidR="001744E9">
        <w:rPr>
          <w:sz w:val="24"/>
          <w:szCs w:val="24"/>
        </w:rPr>
        <w:t>Бюджетного кодекса Российской Федерации</w:t>
      </w:r>
      <w:r w:rsidR="005E2739">
        <w:rPr>
          <w:sz w:val="24"/>
          <w:szCs w:val="24"/>
        </w:rPr>
        <w:t xml:space="preserve">, </w:t>
      </w:r>
      <w:r w:rsidR="00505153">
        <w:rPr>
          <w:sz w:val="24"/>
          <w:szCs w:val="24"/>
        </w:rPr>
        <w:t xml:space="preserve">решением Собрания </w:t>
      </w:r>
      <w:proofErr w:type="spellStart"/>
      <w:r w:rsidR="00505153">
        <w:rPr>
          <w:sz w:val="24"/>
          <w:szCs w:val="24"/>
        </w:rPr>
        <w:t>Корсаковского</w:t>
      </w:r>
      <w:proofErr w:type="spellEnd"/>
      <w:r w:rsidR="00505153">
        <w:rPr>
          <w:sz w:val="24"/>
          <w:szCs w:val="24"/>
        </w:rPr>
        <w:t xml:space="preserve"> городского округа от 19.06.2019 № 74 «Об утверждении порядка предоставления муниципальных гарантий по инвестиционным проектам за счет средств местного бюджета»</w:t>
      </w:r>
      <w:r w:rsidR="001744E9">
        <w:rPr>
          <w:sz w:val="24"/>
          <w:szCs w:val="24"/>
        </w:rPr>
        <w:t xml:space="preserve"> </w:t>
      </w:r>
      <w:r w:rsidR="002F55AA">
        <w:rPr>
          <w:sz w:val="24"/>
          <w:szCs w:val="24"/>
        </w:rPr>
        <w:t xml:space="preserve">администрация </w:t>
      </w:r>
      <w:proofErr w:type="spellStart"/>
      <w:r w:rsidR="002F55AA">
        <w:rPr>
          <w:sz w:val="24"/>
          <w:szCs w:val="24"/>
        </w:rPr>
        <w:t>Корсаковского</w:t>
      </w:r>
      <w:proofErr w:type="spellEnd"/>
      <w:r w:rsidR="002F55AA">
        <w:rPr>
          <w:sz w:val="24"/>
          <w:szCs w:val="24"/>
        </w:rPr>
        <w:t xml:space="preserve"> городского округа ПОСТАНОВЛЯЕТ:</w:t>
      </w:r>
    </w:p>
    <w:p w:rsidR="00FD3957" w:rsidRDefault="002A101F" w:rsidP="00FD3957">
      <w:pPr>
        <w:pStyle w:val="ab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FD3957">
        <w:rPr>
          <w:sz w:val="24"/>
          <w:szCs w:val="24"/>
        </w:rPr>
        <w:t>:</w:t>
      </w:r>
    </w:p>
    <w:p w:rsidR="00D12F39" w:rsidRDefault="002A101F" w:rsidP="00E80FC1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744E9" w:rsidRPr="001744E9">
        <w:rPr>
          <w:sz w:val="24"/>
          <w:szCs w:val="24"/>
        </w:rPr>
        <w:t xml:space="preserve">Порядок </w:t>
      </w:r>
      <w:r w:rsidR="00FD3957">
        <w:rPr>
          <w:sz w:val="24"/>
          <w:szCs w:val="24"/>
        </w:rPr>
        <w:t>осуществления анализа финансового состояния</w:t>
      </w:r>
      <w:r w:rsidR="001744E9" w:rsidRPr="001744E9">
        <w:rPr>
          <w:sz w:val="24"/>
          <w:szCs w:val="24"/>
        </w:rPr>
        <w:t xml:space="preserve"> </w:t>
      </w:r>
      <w:r w:rsidR="00FD3957">
        <w:rPr>
          <w:sz w:val="24"/>
          <w:szCs w:val="24"/>
        </w:rPr>
        <w:t>принципала при предоставлении муниципальной гарантии</w:t>
      </w:r>
      <w:r w:rsidR="001A0E4E" w:rsidRPr="001A0E4E">
        <w:rPr>
          <w:sz w:val="24"/>
          <w:szCs w:val="24"/>
        </w:rPr>
        <w:t xml:space="preserve"> </w:t>
      </w:r>
      <w:r w:rsidR="001A0E4E">
        <w:rPr>
          <w:sz w:val="24"/>
          <w:szCs w:val="24"/>
        </w:rPr>
        <w:t xml:space="preserve">администрации </w:t>
      </w:r>
      <w:proofErr w:type="spellStart"/>
      <w:r w:rsidR="001A0E4E">
        <w:rPr>
          <w:sz w:val="24"/>
          <w:szCs w:val="24"/>
        </w:rPr>
        <w:t>Корсаковского</w:t>
      </w:r>
      <w:proofErr w:type="spellEnd"/>
      <w:r w:rsidR="001A0E4E">
        <w:rPr>
          <w:sz w:val="24"/>
          <w:szCs w:val="24"/>
        </w:rPr>
        <w:t xml:space="preserve"> городского округа</w:t>
      </w:r>
      <w:r w:rsidR="00FD3957">
        <w:rPr>
          <w:sz w:val="24"/>
          <w:szCs w:val="24"/>
        </w:rPr>
        <w:t>, а также мониторинга финансового состояния принципала после предоставления муницип</w:t>
      </w:r>
      <w:r w:rsidR="00A4747B">
        <w:rPr>
          <w:sz w:val="24"/>
          <w:szCs w:val="24"/>
        </w:rPr>
        <w:t>альной гарантии</w:t>
      </w:r>
      <w:r w:rsidR="00275D1A">
        <w:rPr>
          <w:sz w:val="24"/>
          <w:szCs w:val="24"/>
        </w:rPr>
        <w:t xml:space="preserve"> </w:t>
      </w:r>
      <w:r w:rsidR="001A0E4E">
        <w:rPr>
          <w:sz w:val="24"/>
          <w:szCs w:val="24"/>
        </w:rPr>
        <w:t xml:space="preserve">администрации </w:t>
      </w:r>
      <w:proofErr w:type="spellStart"/>
      <w:r w:rsidR="001A0E4E">
        <w:rPr>
          <w:sz w:val="24"/>
          <w:szCs w:val="24"/>
        </w:rPr>
        <w:t>Корсаковского</w:t>
      </w:r>
      <w:proofErr w:type="spellEnd"/>
      <w:r w:rsidR="001A0E4E">
        <w:rPr>
          <w:sz w:val="24"/>
          <w:szCs w:val="24"/>
        </w:rPr>
        <w:t xml:space="preserve"> городского округа</w:t>
      </w:r>
      <w:r w:rsidR="00630B93">
        <w:rPr>
          <w:sz w:val="24"/>
          <w:szCs w:val="24"/>
        </w:rPr>
        <w:t xml:space="preserve"> (прилагается).</w:t>
      </w:r>
    </w:p>
    <w:p w:rsidR="00FD3957" w:rsidRDefault="002A101F" w:rsidP="00E80FC1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D3957">
        <w:rPr>
          <w:sz w:val="24"/>
          <w:szCs w:val="24"/>
        </w:rPr>
        <w:t xml:space="preserve">Порядок осуществления проверки достаточности, надежности и ликвидности обеспечения при предоставлении муниципальной гарантии администрации </w:t>
      </w:r>
      <w:proofErr w:type="spellStart"/>
      <w:r w:rsidR="00FD3957">
        <w:rPr>
          <w:sz w:val="24"/>
          <w:szCs w:val="24"/>
        </w:rPr>
        <w:t>Корсаковского</w:t>
      </w:r>
      <w:proofErr w:type="spellEnd"/>
      <w:r w:rsidR="00FD3957">
        <w:rPr>
          <w:sz w:val="24"/>
          <w:szCs w:val="24"/>
        </w:rPr>
        <w:t xml:space="preserve"> городского округа, а также </w:t>
      </w:r>
      <w:proofErr w:type="gramStart"/>
      <w:r w:rsidR="00FD3957">
        <w:rPr>
          <w:sz w:val="24"/>
          <w:szCs w:val="24"/>
        </w:rPr>
        <w:t>контроля за</w:t>
      </w:r>
      <w:proofErr w:type="gramEnd"/>
      <w:r w:rsidR="00FD3957">
        <w:rPr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 администрации </w:t>
      </w:r>
      <w:proofErr w:type="spellStart"/>
      <w:r w:rsidR="00FD3957">
        <w:rPr>
          <w:sz w:val="24"/>
          <w:szCs w:val="24"/>
        </w:rPr>
        <w:t>Корсаковского</w:t>
      </w:r>
      <w:proofErr w:type="spellEnd"/>
      <w:r w:rsidR="00FD3957">
        <w:rPr>
          <w:sz w:val="24"/>
          <w:szCs w:val="24"/>
        </w:rPr>
        <w:t xml:space="preserve"> городского округа</w:t>
      </w:r>
      <w:r w:rsidR="00275D1A">
        <w:rPr>
          <w:sz w:val="24"/>
          <w:szCs w:val="24"/>
        </w:rPr>
        <w:t xml:space="preserve"> </w:t>
      </w:r>
      <w:r w:rsidR="00630B93">
        <w:rPr>
          <w:sz w:val="24"/>
          <w:szCs w:val="24"/>
        </w:rPr>
        <w:t>(прилагается).</w:t>
      </w:r>
    </w:p>
    <w:p w:rsidR="00A4747B" w:rsidRPr="001744E9" w:rsidRDefault="002A101F" w:rsidP="00E80FC1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4747B">
        <w:rPr>
          <w:sz w:val="24"/>
          <w:szCs w:val="24"/>
        </w:rPr>
        <w:t>Порядок определения минимального объема (суммы) обеспечения исполнения обязатель</w:t>
      </w:r>
      <w:proofErr w:type="gramStart"/>
      <w:r w:rsidR="00A4747B">
        <w:rPr>
          <w:sz w:val="24"/>
          <w:szCs w:val="24"/>
        </w:rPr>
        <w:t>ств пр</w:t>
      </w:r>
      <w:proofErr w:type="gramEnd"/>
      <w:r w:rsidR="00A4747B">
        <w:rPr>
          <w:sz w:val="24"/>
          <w:szCs w:val="24"/>
        </w:rPr>
        <w:t xml:space="preserve">инципала по удовлетворению регрессного требования гаранта к принципалу по муниципальной гарантии администрации </w:t>
      </w:r>
      <w:proofErr w:type="spellStart"/>
      <w:r w:rsidR="00A4747B">
        <w:rPr>
          <w:sz w:val="24"/>
          <w:szCs w:val="24"/>
        </w:rPr>
        <w:t>Корсаковского</w:t>
      </w:r>
      <w:proofErr w:type="spellEnd"/>
      <w:r w:rsidR="00A4747B">
        <w:rPr>
          <w:sz w:val="24"/>
          <w:szCs w:val="24"/>
        </w:rPr>
        <w:t xml:space="preserve"> городского округа</w:t>
      </w:r>
      <w:r w:rsidR="00275D1A">
        <w:rPr>
          <w:sz w:val="24"/>
          <w:szCs w:val="24"/>
        </w:rPr>
        <w:t xml:space="preserve"> </w:t>
      </w:r>
      <w:r w:rsidR="00630B93">
        <w:rPr>
          <w:sz w:val="24"/>
          <w:szCs w:val="24"/>
        </w:rPr>
        <w:t>(прилагается).</w:t>
      </w:r>
    </w:p>
    <w:p w:rsidR="001744E9" w:rsidRDefault="00597EB7" w:rsidP="001744E9">
      <w:pPr>
        <w:pStyle w:val="ab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12F39">
        <w:rPr>
          <w:sz w:val="24"/>
          <w:szCs w:val="24"/>
        </w:rPr>
        <w:t>Опубликовать настоящее постановление в газете «Восход».</w:t>
      </w:r>
    </w:p>
    <w:p w:rsidR="005B48D3" w:rsidRDefault="005B48D3" w:rsidP="002A101F">
      <w:pPr>
        <w:jc w:val="both"/>
        <w:rPr>
          <w:sz w:val="24"/>
          <w:szCs w:val="24"/>
        </w:rPr>
      </w:pPr>
    </w:p>
    <w:p w:rsidR="002A101F" w:rsidRPr="002A101F" w:rsidRDefault="002A101F" w:rsidP="002A101F">
      <w:pPr>
        <w:jc w:val="both"/>
        <w:rPr>
          <w:sz w:val="24"/>
          <w:szCs w:val="24"/>
        </w:rPr>
      </w:pPr>
    </w:p>
    <w:p w:rsidR="00597EB7" w:rsidRDefault="00597EB7" w:rsidP="00883DC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75"/>
      </w:tblGrid>
      <w:tr w:rsidR="00796EF0" w:rsidTr="00796EF0">
        <w:tc>
          <w:tcPr>
            <w:tcW w:w="3686" w:type="dxa"/>
            <w:hideMark/>
          </w:tcPr>
          <w:p w:rsidR="00597EB7" w:rsidRDefault="00A4747B" w:rsidP="00597EB7">
            <w:pPr>
              <w:rPr>
                <w:sz w:val="24"/>
                <w:szCs w:val="24"/>
              </w:rPr>
            </w:pPr>
            <w:bookmarkStart w:id="3" w:name="ТекстовоеПоле5"/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м</w:t>
            </w:r>
            <w:r w:rsidR="00597EB7">
              <w:rPr>
                <w:sz w:val="24"/>
                <w:szCs w:val="24"/>
              </w:rPr>
              <w:t>эр</w:t>
            </w:r>
            <w:r>
              <w:rPr>
                <w:sz w:val="24"/>
                <w:szCs w:val="24"/>
              </w:rPr>
              <w:t>а</w:t>
            </w:r>
            <w:r w:rsidR="00597EB7">
              <w:rPr>
                <w:sz w:val="24"/>
                <w:szCs w:val="24"/>
              </w:rPr>
              <w:t xml:space="preserve"> </w:t>
            </w:r>
          </w:p>
          <w:p w:rsidR="00796EF0" w:rsidRDefault="00597EB7" w:rsidP="00597E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Корсаковского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875" w:type="dxa"/>
            <w:vAlign w:val="bottom"/>
            <w:hideMark/>
          </w:tcPr>
          <w:p w:rsidR="00796EF0" w:rsidRDefault="00A10058" w:rsidP="00630B93">
            <w:pPr>
              <w:spacing w:line="19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П.В. </w:t>
            </w:r>
            <w:proofErr w:type="spellStart"/>
            <w:r w:rsidR="00A4747B">
              <w:rPr>
                <w:sz w:val="24"/>
                <w:szCs w:val="24"/>
              </w:rPr>
              <w:t>Г</w:t>
            </w:r>
            <w:r w:rsidR="00630B93">
              <w:rPr>
                <w:sz w:val="24"/>
                <w:szCs w:val="24"/>
              </w:rPr>
              <w:t>о</w:t>
            </w:r>
            <w:r w:rsidR="00A4747B">
              <w:rPr>
                <w:sz w:val="24"/>
                <w:szCs w:val="24"/>
              </w:rPr>
              <w:t>милевский</w:t>
            </w:r>
            <w:proofErr w:type="spellEnd"/>
          </w:p>
        </w:tc>
      </w:tr>
      <w:bookmarkEnd w:id="3"/>
    </w:tbl>
    <w:p w:rsidR="00836E4B" w:rsidRDefault="00836E4B" w:rsidP="00F55497">
      <w:pPr>
        <w:jc w:val="both"/>
      </w:pPr>
    </w:p>
    <w:p w:rsidR="00E8017C" w:rsidRDefault="00E8017C" w:rsidP="00F55497">
      <w:pPr>
        <w:jc w:val="both"/>
      </w:pPr>
    </w:p>
    <w:p w:rsidR="00E8017C" w:rsidRDefault="00E8017C" w:rsidP="00F55497">
      <w:pPr>
        <w:jc w:val="both"/>
      </w:pPr>
    </w:p>
    <w:p w:rsidR="00E8017C" w:rsidRDefault="00E8017C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E8017C" w:rsidRDefault="00E8017C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325CBC" w:rsidRDefault="00325CBC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  <w:sectPr w:rsidR="00325CBC" w:rsidSect="003E3357">
          <w:type w:val="continuous"/>
          <w:pgSz w:w="11907" w:h="16840"/>
          <w:pgMar w:top="1134" w:right="708" w:bottom="1418" w:left="1701" w:header="567" w:footer="1021" w:gutter="0"/>
          <w:cols w:space="720"/>
          <w:titlePg/>
        </w:sectPr>
      </w:pPr>
    </w:p>
    <w:tbl>
      <w:tblPr>
        <w:tblStyle w:val="ac"/>
        <w:tblW w:w="0" w:type="auto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2313A7" w:rsidRPr="002313A7" w:rsidTr="00325CB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lastRenderedPageBreak/>
              <w:t>УТВЕРЖДЕН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постановлением администрации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proofErr w:type="spellStart"/>
            <w:r w:rsidRPr="002313A7">
              <w:rPr>
                <w:sz w:val="24"/>
                <w:szCs w:val="24"/>
              </w:rPr>
              <w:t>Корсаковского</w:t>
            </w:r>
            <w:proofErr w:type="spellEnd"/>
            <w:r w:rsidRPr="002313A7">
              <w:rPr>
                <w:sz w:val="24"/>
                <w:szCs w:val="24"/>
              </w:rPr>
              <w:t xml:space="preserve"> городского округа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от ________________ № _______</w:t>
            </w:r>
          </w:p>
        </w:tc>
      </w:tr>
    </w:tbl>
    <w:p w:rsidR="002313A7" w:rsidRPr="002313A7" w:rsidRDefault="002313A7" w:rsidP="002313A7">
      <w:pPr>
        <w:ind w:left="5245"/>
        <w:jc w:val="center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2313A7">
      <w:pPr>
        <w:jc w:val="center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Порядок </w:t>
      </w:r>
    </w:p>
    <w:p w:rsidR="002313A7" w:rsidRPr="002313A7" w:rsidRDefault="002313A7" w:rsidP="002313A7">
      <w:pPr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осуществления анализа финансового состояния принципала при предоставлении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округа, а также мониторинга финансового состояния принципала после предоставления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2313A7" w:rsidRPr="002313A7" w:rsidRDefault="002313A7" w:rsidP="002313A7">
      <w:pPr>
        <w:jc w:val="both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2313A7">
      <w:pPr>
        <w:numPr>
          <w:ilvl w:val="0"/>
          <w:numId w:val="2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313A7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2313A7" w:rsidRPr="002313A7" w:rsidRDefault="002313A7" w:rsidP="002313A7">
      <w:pPr>
        <w:ind w:left="360"/>
        <w:contextualSpacing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2313A7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1. Настоящий порядок устанавливает требования к осуществлению анализа финансового состояния принципала при предоставлении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(далее – гарантия), а также мониторинга финансового состояния принципала после предоставления гарантии.</w:t>
      </w:r>
    </w:p>
    <w:p w:rsidR="002313A7" w:rsidRPr="002313A7" w:rsidRDefault="002313A7" w:rsidP="00C26419">
      <w:pPr>
        <w:numPr>
          <w:ilvl w:val="1"/>
          <w:numId w:val="3"/>
        </w:numPr>
        <w:spacing w:after="160" w:line="256" w:lineRule="auto"/>
        <w:ind w:left="0" w:firstLine="78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Анализ финансового состояния принципала при предоставлении гарантии (далее – предварительный анализ) осуществляется департаментом финансов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(далее – департамент финансов) до предоставления гарантии.</w:t>
      </w:r>
    </w:p>
    <w:p w:rsidR="0003534B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Предварительный анализ осуществляется на основе представленных принципалом документов</w:t>
      </w:r>
      <w:r w:rsidR="0003534B">
        <w:rPr>
          <w:rFonts w:eastAsia="Calibri"/>
          <w:sz w:val="24"/>
          <w:szCs w:val="24"/>
          <w:lang w:eastAsia="en-US"/>
        </w:rPr>
        <w:t>:</w:t>
      </w:r>
    </w:p>
    <w:p w:rsidR="0003534B" w:rsidRDefault="0003534B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бухгалтерских балансов и отчетов о прибылях и убытках</w:t>
      </w:r>
      <w:r w:rsidR="002313A7" w:rsidRPr="002313A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за последний отчетный год и за все отчетные периоды текущего года с отметкой налогового органа об их принятии</w:t>
      </w:r>
      <w:r w:rsidR="00576D78">
        <w:rPr>
          <w:rFonts w:eastAsia="Calibri"/>
          <w:sz w:val="24"/>
          <w:szCs w:val="24"/>
          <w:lang w:eastAsia="en-US"/>
        </w:rPr>
        <w:t>;</w:t>
      </w:r>
    </w:p>
    <w:p w:rsidR="002313A7" w:rsidRPr="002313A7" w:rsidRDefault="0003534B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расшифровки кредиторской и дебиторской задолженности к представленному бухгалтерскому балансу за последний отчетный период и предыдущий отчетному периоду год с указанием даты возникновения и окончания задолженности в соответствии с заключенными договорами</w:t>
      </w:r>
      <w:r w:rsidR="002313A7" w:rsidRPr="002313A7">
        <w:rPr>
          <w:rFonts w:eastAsia="Calibri"/>
          <w:sz w:val="24"/>
          <w:szCs w:val="24"/>
          <w:lang w:eastAsia="en-US"/>
        </w:rPr>
        <w:t>.</w:t>
      </w:r>
    </w:p>
    <w:p w:rsidR="002313A7" w:rsidRPr="002313A7" w:rsidRDefault="002313A7" w:rsidP="00C2641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Анализ финансового состояния принципала после предоставления гарантии (далее - последующий анализ) осуществляется департаментом финансов после представления гарантии в течение срока действия предоставленной гарантии ежегодно до прекращения обязательств по гарантии.</w:t>
      </w:r>
    </w:p>
    <w:p w:rsidR="002313A7" w:rsidRPr="002313A7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Последующий анализ производится на основании документов, указанных в пункте 1.2 настоящего порядка, представляемых принципалом в департамент финансов не позднее 1 мая текущего года.</w:t>
      </w:r>
    </w:p>
    <w:p w:rsidR="002313A7" w:rsidRPr="002313A7" w:rsidRDefault="002313A7" w:rsidP="002313A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1.4. Оценка финансового состояния принципала проводится на основе финансовых показателей в соответствии с разделами 2 и 3 настоящего порядка.</w:t>
      </w:r>
    </w:p>
    <w:p w:rsidR="002313A7" w:rsidRPr="002313A7" w:rsidRDefault="002313A7" w:rsidP="002313A7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1.5. По результатам предварительного анализа и последующего мониторинга финансового состояния принципала департаментом финансов в срок, установленный пунктом 2.8 Порядка предоставления муниципальных гарантий, утвержденного постановлением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от 13.04.2020 № 544, составляются соответствующие заключения по форме согласно приложению 1 к настоящему порядку.</w:t>
      </w:r>
    </w:p>
    <w:p w:rsidR="002313A7" w:rsidRPr="002313A7" w:rsidRDefault="002313A7" w:rsidP="002313A7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2313A7">
      <w:pPr>
        <w:numPr>
          <w:ilvl w:val="0"/>
          <w:numId w:val="3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313A7">
        <w:rPr>
          <w:rFonts w:eastAsia="Calibri"/>
          <w:b/>
          <w:sz w:val="24"/>
          <w:szCs w:val="24"/>
          <w:lang w:eastAsia="en-US"/>
        </w:rPr>
        <w:t>Методика расчета базовых финансовых индикаторов</w:t>
      </w:r>
    </w:p>
    <w:p w:rsidR="002313A7" w:rsidRPr="002313A7" w:rsidRDefault="002313A7" w:rsidP="002313A7">
      <w:pPr>
        <w:jc w:val="both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2313A7">
      <w:pPr>
        <w:ind w:firstLine="567"/>
        <w:contextualSpacing/>
        <w:rPr>
          <w:sz w:val="24"/>
          <w:szCs w:val="24"/>
        </w:rPr>
      </w:pPr>
      <w:r w:rsidRPr="002313A7">
        <w:rPr>
          <w:sz w:val="24"/>
          <w:szCs w:val="24"/>
        </w:rPr>
        <w:t>2.1. Для оценки финансового состояния принципала используются следующие базовые финансовые индикаторы:</w:t>
      </w:r>
    </w:p>
    <w:p w:rsidR="002313A7" w:rsidRPr="002313A7" w:rsidRDefault="002313A7" w:rsidP="002313A7">
      <w:pPr>
        <w:ind w:firstLine="567"/>
        <w:contextualSpacing/>
        <w:rPr>
          <w:sz w:val="24"/>
          <w:szCs w:val="24"/>
        </w:rPr>
      </w:pPr>
      <w:r w:rsidRPr="002313A7">
        <w:rPr>
          <w:sz w:val="24"/>
          <w:szCs w:val="24"/>
        </w:rPr>
        <w:lastRenderedPageBreak/>
        <w:t>- коэффициенты ликвидности;</w:t>
      </w:r>
    </w:p>
    <w:p w:rsidR="002313A7" w:rsidRPr="002313A7" w:rsidRDefault="002313A7" w:rsidP="002313A7">
      <w:pPr>
        <w:ind w:firstLine="567"/>
        <w:contextualSpacing/>
        <w:rPr>
          <w:sz w:val="24"/>
          <w:szCs w:val="24"/>
        </w:rPr>
      </w:pPr>
      <w:r w:rsidRPr="002313A7">
        <w:rPr>
          <w:sz w:val="24"/>
          <w:szCs w:val="24"/>
        </w:rPr>
        <w:t>- коэффициент соотношения собственных и заемных средств;</w:t>
      </w:r>
    </w:p>
    <w:p w:rsidR="002313A7" w:rsidRPr="002313A7" w:rsidRDefault="002313A7" w:rsidP="002313A7">
      <w:pPr>
        <w:ind w:firstLine="567"/>
        <w:contextualSpacing/>
        <w:rPr>
          <w:sz w:val="24"/>
          <w:szCs w:val="24"/>
        </w:rPr>
      </w:pPr>
      <w:r w:rsidRPr="002313A7">
        <w:rPr>
          <w:sz w:val="24"/>
          <w:szCs w:val="24"/>
        </w:rPr>
        <w:t>- коэффициент рентабельности.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2.2. Коэффициенты ликвидности характеризуют платежеспособность принципала, отражают потенциальную возможность возвращать полученные заемные средства.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Группа коэффициентов ликвидности содержит три показателя: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- коэффициент абсолютной ликвидности;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- коэффициент быстрой (промежуточной) ликвидности;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- коэффициент текущей (общей) ликвидности.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2.2.1. Коэффициент абсолютной ликвидности (К</w:t>
      </w:r>
      <w:proofErr w:type="gramStart"/>
      <w:r w:rsidRPr="002313A7">
        <w:rPr>
          <w:sz w:val="24"/>
          <w:szCs w:val="24"/>
          <w:vertAlign w:val="subscript"/>
        </w:rPr>
        <w:t>1</w:t>
      </w:r>
      <w:proofErr w:type="gramEnd"/>
      <w:r w:rsidRPr="002313A7">
        <w:rPr>
          <w:sz w:val="24"/>
          <w:szCs w:val="24"/>
        </w:rPr>
        <w:t>) характеризует способность принципала к моментальному погашению долговых обязательств и рассчитывается по формуле:</w:t>
      </w:r>
    </w:p>
    <w:p w:rsidR="002313A7" w:rsidRPr="002313A7" w:rsidRDefault="002313A7" w:rsidP="002313A7">
      <w:pPr>
        <w:ind w:left="708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 xml:space="preserve">        </w:t>
      </w:r>
      <w:proofErr w:type="gramStart"/>
      <w:r w:rsidRPr="002313A7">
        <w:rPr>
          <w:sz w:val="24"/>
          <w:szCs w:val="24"/>
        </w:rPr>
        <w:t>ДС + О</w:t>
      </w:r>
      <w:proofErr w:type="gramEnd"/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К</w:t>
      </w:r>
      <w:proofErr w:type="gramStart"/>
      <w:r w:rsidRPr="002313A7">
        <w:rPr>
          <w:sz w:val="24"/>
          <w:szCs w:val="24"/>
          <w:vertAlign w:val="subscript"/>
        </w:rPr>
        <w:t>1</w:t>
      </w:r>
      <w:proofErr w:type="gramEnd"/>
      <w:r w:rsidRPr="002313A7">
        <w:rPr>
          <w:sz w:val="24"/>
          <w:szCs w:val="24"/>
        </w:rPr>
        <w:t xml:space="preserve"> = -------------, где:</w:t>
      </w:r>
    </w:p>
    <w:p w:rsidR="002313A7" w:rsidRPr="002313A7" w:rsidRDefault="002313A7" w:rsidP="002313A7">
      <w:pPr>
        <w:ind w:left="360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ab/>
        <w:t xml:space="preserve">           КО</w:t>
      </w:r>
    </w:p>
    <w:p w:rsidR="002313A7" w:rsidRPr="002313A7" w:rsidRDefault="002313A7" w:rsidP="002313A7">
      <w:pPr>
        <w:ind w:firstLine="567"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ДС – денежные средства в кассе и на расчетном счете (данные бухгалтерского баланса);</w:t>
      </w:r>
    </w:p>
    <w:p w:rsidR="002313A7" w:rsidRPr="002313A7" w:rsidRDefault="002313A7" w:rsidP="002313A7">
      <w:pPr>
        <w:ind w:firstLine="567"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О – рыночная стоимость государственных ценных бумаг и ценных бумаг Сберегательного банка Российской Федерации, принадлежащих принципалу. Данная информация представляется принципалом дополнительно. При отсутствии соответствующей информации стоимость ценных бумаг принимается равной нулю;</w:t>
      </w:r>
    </w:p>
    <w:p w:rsidR="002313A7" w:rsidRPr="002313A7" w:rsidRDefault="002313A7" w:rsidP="002313A7">
      <w:pPr>
        <w:ind w:firstLine="567"/>
        <w:jc w:val="both"/>
        <w:rPr>
          <w:sz w:val="24"/>
          <w:szCs w:val="24"/>
        </w:rPr>
      </w:pPr>
      <w:proofErr w:type="gramStart"/>
      <w:r w:rsidRPr="002313A7">
        <w:rPr>
          <w:sz w:val="24"/>
          <w:szCs w:val="24"/>
        </w:rPr>
        <w:t>КО</w:t>
      </w:r>
      <w:proofErr w:type="gramEnd"/>
      <w:r w:rsidRPr="002313A7">
        <w:rPr>
          <w:sz w:val="24"/>
          <w:szCs w:val="24"/>
        </w:rPr>
        <w:t xml:space="preserve"> – краткосрочные финансовые обязательства. Значение показателя определяется как разность итога раздела </w:t>
      </w:r>
      <w:r w:rsidRPr="002313A7">
        <w:rPr>
          <w:sz w:val="24"/>
          <w:szCs w:val="24"/>
          <w:lang w:val="en-US"/>
        </w:rPr>
        <w:t>V</w:t>
      </w:r>
      <w:r w:rsidRPr="002313A7">
        <w:rPr>
          <w:sz w:val="24"/>
          <w:szCs w:val="24"/>
        </w:rPr>
        <w:t xml:space="preserve"> пассива бухгалтерского баланса и доходов будущих периодов и оценочных обязательств (строки 1530 и 1540 бухгалтерского баланса).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2.2.2. Коэффициент быстрой (промежуточной) ликвидности (К</w:t>
      </w:r>
      <w:proofErr w:type="gramStart"/>
      <w:r w:rsidRPr="002313A7">
        <w:rPr>
          <w:sz w:val="24"/>
          <w:szCs w:val="24"/>
          <w:vertAlign w:val="subscript"/>
        </w:rPr>
        <w:t>2</w:t>
      </w:r>
      <w:proofErr w:type="gramEnd"/>
      <w:r w:rsidRPr="002313A7">
        <w:rPr>
          <w:sz w:val="24"/>
          <w:szCs w:val="24"/>
        </w:rPr>
        <w:t>) характеризует способность принципала оперативно высвободить из хозяйственного оборота денежные средства и погасить краткосрочные обязательства и рассчитывается по формуле:</w:t>
      </w:r>
    </w:p>
    <w:p w:rsidR="002313A7" w:rsidRPr="002313A7" w:rsidRDefault="002313A7" w:rsidP="002313A7">
      <w:pPr>
        <w:ind w:left="708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 xml:space="preserve">      ДЗ + КФВ + ДС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К</w:t>
      </w:r>
      <w:proofErr w:type="gramStart"/>
      <w:r w:rsidRPr="002313A7">
        <w:rPr>
          <w:sz w:val="24"/>
          <w:szCs w:val="24"/>
          <w:vertAlign w:val="subscript"/>
        </w:rPr>
        <w:t>2</w:t>
      </w:r>
      <w:proofErr w:type="gramEnd"/>
      <w:r w:rsidRPr="002313A7">
        <w:rPr>
          <w:sz w:val="24"/>
          <w:szCs w:val="24"/>
        </w:rPr>
        <w:t xml:space="preserve"> = ---------------------, где:</w:t>
      </w:r>
    </w:p>
    <w:p w:rsidR="002313A7" w:rsidRPr="002313A7" w:rsidRDefault="002313A7" w:rsidP="002313A7">
      <w:pPr>
        <w:ind w:left="360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ab/>
        <w:t xml:space="preserve">    </w:t>
      </w:r>
      <w:r w:rsidRPr="002313A7">
        <w:rPr>
          <w:sz w:val="24"/>
          <w:szCs w:val="24"/>
        </w:rPr>
        <w:tab/>
        <w:t xml:space="preserve">   КО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ДЗ – дебиторская задолженность, погашение которой ожидается в течение года (данные бухгалтерского баланса и дополнительная информация);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КФВ – краткосрочные финансовые вложения (данные бухгалтерского баланса и дополнительная информация);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ДС – денежные средства в кассе и на расчетном счете (данные бухгалтерского баланса);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2313A7">
        <w:rPr>
          <w:sz w:val="24"/>
          <w:szCs w:val="24"/>
        </w:rPr>
        <w:t>КО</w:t>
      </w:r>
      <w:proofErr w:type="gramEnd"/>
      <w:r w:rsidRPr="002313A7">
        <w:rPr>
          <w:sz w:val="24"/>
          <w:szCs w:val="24"/>
        </w:rPr>
        <w:t xml:space="preserve"> – краткосрочные финансовые обязательства.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2.2.3. Коэффициент текущей (общей) ликвидности (К</w:t>
      </w:r>
      <w:r w:rsidRPr="002313A7">
        <w:rPr>
          <w:sz w:val="24"/>
          <w:szCs w:val="24"/>
          <w:vertAlign w:val="subscript"/>
        </w:rPr>
        <w:t>3</w:t>
      </w:r>
      <w:r w:rsidRPr="002313A7">
        <w:rPr>
          <w:sz w:val="24"/>
          <w:szCs w:val="24"/>
        </w:rPr>
        <w:t>) характеризует способность принципала погашать текущие (краткосрочные) обязательства за счет оборотных активов и рассчитывается по формуле: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 xml:space="preserve">         ОА - НА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К</w:t>
      </w:r>
      <w:r w:rsidRPr="002313A7">
        <w:rPr>
          <w:sz w:val="24"/>
          <w:szCs w:val="24"/>
          <w:vertAlign w:val="subscript"/>
        </w:rPr>
        <w:t>3</w:t>
      </w:r>
      <w:r w:rsidRPr="002313A7">
        <w:rPr>
          <w:sz w:val="24"/>
          <w:szCs w:val="24"/>
        </w:rPr>
        <w:t xml:space="preserve"> = --------------, где: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ab/>
        <w:t xml:space="preserve">           КО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ОА – оборотные активы (данные бухгалтерского баланса);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НА – неликвидные оборотные активы, включающие расходы будущих периодов и дебиторскую задолженность, платежи по которой ожидаются более чем через 12 месяцев после отчетной даты (данные бухгалтерского баланса и дополнительная информация);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2313A7">
        <w:rPr>
          <w:sz w:val="24"/>
          <w:szCs w:val="24"/>
        </w:rPr>
        <w:t>КО</w:t>
      </w:r>
      <w:proofErr w:type="gramEnd"/>
      <w:r w:rsidRPr="002313A7">
        <w:rPr>
          <w:sz w:val="24"/>
          <w:szCs w:val="24"/>
        </w:rPr>
        <w:t xml:space="preserve"> – краткосрочные финансовые обязательства.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2.3. Коэффициент соотношения собственных и заемных средств (К</w:t>
      </w:r>
      <w:proofErr w:type="gramStart"/>
      <w:r w:rsidRPr="002313A7">
        <w:rPr>
          <w:sz w:val="24"/>
          <w:szCs w:val="24"/>
          <w:vertAlign w:val="subscript"/>
        </w:rPr>
        <w:t>4</w:t>
      </w:r>
      <w:proofErr w:type="gramEnd"/>
      <w:r w:rsidRPr="002313A7">
        <w:rPr>
          <w:sz w:val="24"/>
          <w:szCs w:val="24"/>
        </w:rPr>
        <w:t>) характеризует финансовую устойчивость принципала, указывает на возможность покрытия заемных средств собственным капиталом и рассчитывается по формуле:</w:t>
      </w:r>
    </w:p>
    <w:p w:rsidR="002313A7" w:rsidRPr="002313A7" w:rsidRDefault="002313A7" w:rsidP="002313A7">
      <w:pPr>
        <w:ind w:left="708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lastRenderedPageBreak/>
        <w:t xml:space="preserve">        СК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К</w:t>
      </w:r>
      <w:proofErr w:type="gramStart"/>
      <w:r w:rsidRPr="002313A7">
        <w:rPr>
          <w:sz w:val="24"/>
          <w:szCs w:val="24"/>
          <w:vertAlign w:val="subscript"/>
        </w:rPr>
        <w:t>4</w:t>
      </w:r>
      <w:proofErr w:type="gramEnd"/>
      <w:r w:rsidRPr="002313A7">
        <w:rPr>
          <w:sz w:val="24"/>
          <w:szCs w:val="24"/>
        </w:rPr>
        <w:t xml:space="preserve"> = --------, где</w:t>
      </w:r>
    </w:p>
    <w:p w:rsidR="002313A7" w:rsidRPr="002313A7" w:rsidRDefault="002313A7" w:rsidP="002313A7">
      <w:pPr>
        <w:ind w:left="360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ab/>
        <w:t xml:space="preserve">        ЗК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СК – собственный капитал (данные бухгалтерского баланса);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ЗК – заемный капитал или финансовые обязательства. Значение показателя определяется как сумма краткосрочных и долгосрочных обязательств без учета доходов будущих периодов и оценочных обязательств (данные бухгалтерского баланса).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2.4. Коэффициент рентабельности (К</w:t>
      </w:r>
      <w:r w:rsidRPr="002313A7">
        <w:rPr>
          <w:sz w:val="24"/>
          <w:szCs w:val="24"/>
          <w:vertAlign w:val="subscript"/>
        </w:rPr>
        <w:t>5</w:t>
      </w:r>
      <w:r w:rsidRPr="002313A7">
        <w:rPr>
          <w:sz w:val="24"/>
          <w:szCs w:val="24"/>
        </w:rPr>
        <w:t>) характеризует степень прибыльности принципала и рассчитывается по формуле: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</w:p>
    <w:p w:rsidR="002313A7" w:rsidRPr="002313A7" w:rsidRDefault="002313A7" w:rsidP="002313A7">
      <w:pPr>
        <w:ind w:left="348" w:firstLine="360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 xml:space="preserve">       </w:t>
      </w:r>
      <w:proofErr w:type="gramStart"/>
      <w:r w:rsidRPr="002313A7">
        <w:rPr>
          <w:sz w:val="24"/>
          <w:szCs w:val="24"/>
        </w:rPr>
        <w:t>ПР</w:t>
      </w:r>
      <w:proofErr w:type="gramEnd"/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К</w:t>
      </w:r>
      <w:r w:rsidRPr="002313A7">
        <w:rPr>
          <w:sz w:val="24"/>
          <w:szCs w:val="24"/>
          <w:vertAlign w:val="subscript"/>
        </w:rPr>
        <w:t>5</w:t>
      </w:r>
      <w:r w:rsidRPr="002313A7">
        <w:rPr>
          <w:sz w:val="24"/>
          <w:szCs w:val="24"/>
        </w:rPr>
        <w:t xml:space="preserve"> = ------, где:</w:t>
      </w:r>
    </w:p>
    <w:p w:rsidR="002313A7" w:rsidRPr="002313A7" w:rsidRDefault="002313A7" w:rsidP="002313A7">
      <w:pPr>
        <w:ind w:firstLine="360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ab/>
        <w:t xml:space="preserve">        В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2313A7">
        <w:rPr>
          <w:sz w:val="24"/>
          <w:szCs w:val="24"/>
        </w:rPr>
        <w:t>ПР</w:t>
      </w:r>
      <w:proofErr w:type="gramEnd"/>
      <w:r w:rsidRPr="002313A7">
        <w:rPr>
          <w:sz w:val="24"/>
          <w:szCs w:val="24"/>
        </w:rPr>
        <w:t xml:space="preserve"> – прибыль от продаж (данные отчета о прибылях и убытках);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2313A7">
        <w:rPr>
          <w:sz w:val="24"/>
          <w:szCs w:val="24"/>
        </w:rPr>
        <w:t>В</w:t>
      </w:r>
      <w:proofErr w:type="gramEnd"/>
      <w:r w:rsidRPr="002313A7">
        <w:rPr>
          <w:sz w:val="24"/>
          <w:szCs w:val="24"/>
        </w:rPr>
        <w:t xml:space="preserve"> – </w:t>
      </w:r>
      <w:proofErr w:type="gramStart"/>
      <w:r w:rsidRPr="002313A7">
        <w:rPr>
          <w:sz w:val="24"/>
          <w:szCs w:val="24"/>
        </w:rPr>
        <w:t>выручка</w:t>
      </w:r>
      <w:proofErr w:type="gramEnd"/>
      <w:r w:rsidRPr="002313A7">
        <w:rPr>
          <w:sz w:val="24"/>
          <w:szCs w:val="24"/>
        </w:rPr>
        <w:t xml:space="preserve"> (данные отчета о прибылях и убытках).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</w:p>
    <w:p w:rsidR="002313A7" w:rsidRPr="002313A7" w:rsidRDefault="002313A7" w:rsidP="002313A7">
      <w:pPr>
        <w:numPr>
          <w:ilvl w:val="0"/>
          <w:numId w:val="3"/>
        </w:numPr>
        <w:spacing w:after="160" w:line="256" w:lineRule="auto"/>
        <w:contextualSpacing/>
        <w:jc w:val="center"/>
        <w:rPr>
          <w:b/>
          <w:sz w:val="24"/>
          <w:szCs w:val="24"/>
        </w:rPr>
      </w:pPr>
      <w:r w:rsidRPr="002313A7">
        <w:rPr>
          <w:b/>
          <w:sz w:val="24"/>
          <w:szCs w:val="24"/>
        </w:rPr>
        <w:t>Методика оценки финансового состояния принципала</w:t>
      </w:r>
    </w:p>
    <w:p w:rsidR="002313A7" w:rsidRPr="002313A7" w:rsidRDefault="002313A7" w:rsidP="002313A7">
      <w:pPr>
        <w:ind w:left="360"/>
        <w:contextualSpacing/>
        <w:jc w:val="both"/>
        <w:rPr>
          <w:sz w:val="24"/>
          <w:szCs w:val="24"/>
        </w:rPr>
      </w:pP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 xml:space="preserve">3.1. Для каждого коэффициента устанавливаются наилучшее и наихудшее пороговые значения с указанием категории риска </w:t>
      </w:r>
      <w:proofErr w:type="gramStart"/>
      <w:r w:rsidRPr="002313A7">
        <w:rPr>
          <w:sz w:val="24"/>
          <w:szCs w:val="24"/>
        </w:rPr>
        <w:t>согласно таблицы</w:t>
      </w:r>
      <w:proofErr w:type="gramEnd"/>
      <w:r w:rsidRPr="002313A7">
        <w:rPr>
          <w:sz w:val="24"/>
          <w:szCs w:val="24"/>
        </w:rPr>
        <w:t xml:space="preserve"> 1.</w:t>
      </w:r>
    </w:p>
    <w:p w:rsidR="002313A7" w:rsidRPr="002313A7" w:rsidRDefault="002313A7" w:rsidP="002313A7">
      <w:pPr>
        <w:ind w:firstLine="709"/>
        <w:jc w:val="both"/>
        <w:rPr>
          <w:sz w:val="24"/>
          <w:szCs w:val="24"/>
        </w:rPr>
      </w:pPr>
      <w:r w:rsidRPr="002313A7">
        <w:rPr>
          <w:sz w:val="24"/>
          <w:szCs w:val="24"/>
          <w:u w:val="single"/>
        </w:rPr>
        <w:t>Таблица 1.</w:t>
      </w:r>
      <w:r w:rsidRPr="002313A7">
        <w:rPr>
          <w:sz w:val="24"/>
          <w:szCs w:val="24"/>
        </w:rPr>
        <w:t xml:space="preserve"> Пороговые значения показателей и выбор категории риска</w:t>
      </w:r>
      <w:r w:rsidRPr="002313A7">
        <w:rPr>
          <w:sz w:val="24"/>
          <w:szCs w:val="24"/>
        </w:rPr>
        <w:br/>
        <w:t>в зависимости от фактических значений показателей</w:t>
      </w:r>
    </w:p>
    <w:p w:rsidR="002313A7" w:rsidRPr="002313A7" w:rsidRDefault="002313A7" w:rsidP="002313A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260"/>
        <w:gridCol w:w="2391"/>
        <w:gridCol w:w="2615"/>
      </w:tblGrid>
      <w:tr w:rsidR="002313A7" w:rsidRPr="002313A7" w:rsidTr="008B0513">
        <w:tc>
          <w:tcPr>
            <w:tcW w:w="2392" w:type="dxa"/>
            <w:vAlign w:val="center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1 категория (хорошее значение показателя)</w:t>
            </w:r>
          </w:p>
        </w:tc>
        <w:tc>
          <w:tcPr>
            <w:tcW w:w="2393" w:type="dxa"/>
            <w:vAlign w:val="center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2 категория (удовлетворительное значение показателя)</w:t>
            </w:r>
          </w:p>
        </w:tc>
        <w:tc>
          <w:tcPr>
            <w:tcW w:w="2615" w:type="dxa"/>
            <w:vAlign w:val="center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3 категория (неудовлетворительное значение показателя)</w:t>
            </w:r>
          </w:p>
        </w:tc>
      </w:tr>
      <w:tr w:rsidR="002313A7" w:rsidRPr="002313A7" w:rsidTr="008B0513">
        <w:tc>
          <w:tcPr>
            <w:tcW w:w="2392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</w:t>
            </w:r>
            <w:proofErr w:type="gramStart"/>
            <w:r w:rsidRPr="002313A7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2313A7">
              <w:rPr>
                <w:sz w:val="24"/>
                <w:szCs w:val="24"/>
              </w:rPr>
              <w:t xml:space="preserve"> (коэффициент абсолютной ликвидности)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более 0,2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0,1 - 0,2</w:t>
            </w:r>
          </w:p>
        </w:tc>
        <w:tc>
          <w:tcPr>
            <w:tcW w:w="2615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менее 0,1</w:t>
            </w:r>
          </w:p>
        </w:tc>
      </w:tr>
      <w:tr w:rsidR="002313A7" w:rsidRPr="002313A7" w:rsidTr="008B0513">
        <w:tc>
          <w:tcPr>
            <w:tcW w:w="2392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</w:t>
            </w:r>
            <w:proofErr w:type="gramStart"/>
            <w:r w:rsidRPr="002313A7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2313A7">
              <w:rPr>
                <w:sz w:val="24"/>
                <w:szCs w:val="24"/>
                <w:vertAlign w:val="subscript"/>
              </w:rPr>
              <w:t xml:space="preserve"> </w:t>
            </w:r>
            <w:r w:rsidRPr="002313A7">
              <w:rPr>
                <w:sz w:val="24"/>
                <w:szCs w:val="24"/>
              </w:rPr>
              <w:t xml:space="preserve"> (коэффициент быстрой (промежуточной) ликвидности)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более 0,8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0,5 - 0,8</w:t>
            </w:r>
          </w:p>
        </w:tc>
        <w:tc>
          <w:tcPr>
            <w:tcW w:w="2615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менее 0,5</w:t>
            </w:r>
          </w:p>
        </w:tc>
      </w:tr>
      <w:tr w:rsidR="002313A7" w:rsidRPr="002313A7" w:rsidTr="008B0513">
        <w:tc>
          <w:tcPr>
            <w:tcW w:w="2392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</w:t>
            </w:r>
            <w:r w:rsidRPr="002313A7">
              <w:rPr>
                <w:sz w:val="24"/>
                <w:szCs w:val="24"/>
                <w:vertAlign w:val="subscript"/>
              </w:rPr>
              <w:t>3</w:t>
            </w:r>
            <w:r w:rsidRPr="002313A7">
              <w:rPr>
                <w:sz w:val="24"/>
                <w:szCs w:val="24"/>
              </w:rPr>
              <w:t xml:space="preserve"> (коэффициент текущей (общей) ликвидности)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более 2,0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1,0 - 2,0</w:t>
            </w:r>
          </w:p>
        </w:tc>
        <w:tc>
          <w:tcPr>
            <w:tcW w:w="2615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менее 1,0</w:t>
            </w:r>
          </w:p>
        </w:tc>
      </w:tr>
      <w:tr w:rsidR="002313A7" w:rsidRPr="002313A7" w:rsidTr="008B0513">
        <w:tc>
          <w:tcPr>
            <w:tcW w:w="2392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</w:t>
            </w:r>
            <w:proofErr w:type="gramStart"/>
            <w:r w:rsidRPr="002313A7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2313A7">
              <w:rPr>
                <w:sz w:val="24"/>
                <w:szCs w:val="24"/>
              </w:rPr>
              <w:t xml:space="preserve"> (коэффициент соотношения собственных и заемных средств)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более 0,6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0,4 - 0,6</w:t>
            </w:r>
          </w:p>
        </w:tc>
        <w:tc>
          <w:tcPr>
            <w:tcW w:w="2615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менее 0,4</w:t>
            </w:r>
          </w:p>
        </w:tc>
      </w:tr>
      <w:tr w:rsidR="002313A7" w:rsidRPr="002313A7" w:rsidTr="008B0513">
        <w:tc>
          <w:tcPr>
            <w:tcW w:w="2392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</w:t>
            </w:r>
            <w:r w:rsidRPr="002313A7">
              <w:rPr>
                <w:sz w:val="24"/>
                <w:szCs w:val="24"/>
                <w:vertAlign w:val="subscript"/>
              </w:rPr>
              <w:t>5</w:t>
            </w:r>
            <w:r w:rsidRPr="002313A7">
              <w:rPr>
                <w:sz w:val="24"/>
                <w:szCs w:val="24"/>
              </w:rPr>
              <w:t xml:space="preserve"> (коэффициент рентабельности)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более 0,15</w:t>
            </w:r>
          </w:p>
        </w:tc>
        <w:tc>
          <w:tcPr>
            <w:tcW w:w="2393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0,0 - 0,15</w:t>
            </w:r>
          </w:p>
        </w:tc>
        <w:tc>
          <w:tcPr>
            <w:tcW w:w="2615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менее 0,0 (нерентабельное)</w:t>
            </w:r>
          </w:p>
        </w:tc>
      </w:tr>
    </w:tbl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На основе полученного значения и пороговых значений для каждого показателя определяется одна из категорий риска.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3.2. Сводная оценка финансового состояния принципала (</w:t>
      </w:r>
      <w:r w:rsidRPr="002313A7">
        <w:rPr>
          <w:sz w:val="24"/>
          <w:szCs w:val="24"/>
          <w:lang w:val="en-US"/>
        </w:rPr>
        <w:t>S</w:t>
      </w:r>
      <w:r w:rsidRPr="002313A7">
        <w:rPr>
          <w:sz w:val="24"/>
          <w:szCs w:val="24"/>
        </w:rPr>
        <w:t>) рассчитывается по формуле: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  <w:lang w:val="en-US"/>
        </w:rPr>
        <w:t>S</w:t>
      </w:r>
      <w:r w:rsidRPr="002313A7">
        <w:rPr>
          <w:sz w:val="24"/>
          <w:szCs w:val="24"/>
        </w:rPr>
        <w:t xml:space="preserve"> = (Вес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 xml:space="preserve"> </w:t>
      </w:r>
      <w:r w:rsidRPr="002313A7">
        <w:rPr>
          <w:sz w:val="24"/>
          <w:szCs w:val="24"/>
          <w:lang w:val="en-US"/>
        </w:rPr>
        <w:t>x</w:t>
      </w:r>
      <w:r w:rsidRPr="002313A7">
        <w:rPr>
          <w:sz w:val="24"/>
          <w:szCs w:val="24"/>
        </w:rPr>
        <w:t xml:space="preserve"> Кат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>) + (Вес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 xml:space="preserve"> </w:t>
      </w:r>
      <w:r w:rsidRPr="002313A7">
        <w:rPr>
          <w:sz w:val="24"/>
          <w:szCs w:val="24"/>
          <w:lang w:val="en-US"/>
        </w:rPr>
        <w:t>x</w:t>
      </w:r>
      <w:r w:rsidRPr="002313A7">
        <w:rPr>
          <w:sz w:val="24"/>
          <w:szCs w:val="24"/>
        </w:rPr>
        <w:t xml:space="preserve"> Кат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>) + (Вес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 xml:space="preserve"> </w:t>
      </w:r>
      <w:r w:rsidRPr="002313A7">
        <w:rPr>
          <w:sz w:val="24"/>
          <w:szCs w:val="24"/>
          <w:lang w:val="en-US"/>
        </w:rPr>
        <w:t>x</w:t>
      </w:r>
      <w:r w:rsidRPr="002313A7">
        <w:rPr>
          <w:sz w:val="24"/>
          <w:szCs w:val="24"/>
        </w:rPr>
        <w:t xml:space="preserve"> Кат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>) + (Вес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 xml:space="preserve"> </w:t>
      </w:r>
      <w:r w:rsidRPr="002313A7">
        <w:rPr>
          <w:sz w:val="24"/>
          <w:szCs w:val="24"/>
          <w:lang w:val="en-US"/>
        </w:rPr>
        <w:t>x</w:t>
      </w:r>
      <w:r w:rsidRPr="002313A7">
        <w:rPr>
          <w:sz w:val="24"/>
          <w:szCs w:val="24"/>
        </w:rPr>
        <w:t xml:space="preserve"> Кат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>) + (Вес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 xml:space="preserve"> </w:t>
      </w:r>
      <w:r w:rsidRPr="002313A7">
        <w:rPr>
          <w:sz w:val="24"/>
          <w:szCs w:val="24"/>
          <w:lang w:val="en-US"/>
        </w:rPr>
        <w:t>x</w:t>
      </w:r>
      <w:r w:rsidRPr="002313A7">
        <w:rPr>
          <w:sz w:val="24"/>
          <w:szCs w:val="24"/>
        </w:rPr>
        <w:t xml:space="preserve"> Кат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>), где: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Вес</w:t>
      </w:r>
      <w:proofErr w:type="spellStart"/>
      <w:proofErr w:type="gramStart"/>
      <w:r w:rsidRPr="002313A7">
        <w:rPr>
          <w:sz w:val="24"/>
          <w:szCs w:val="24"/>
          <w:lang w:val="en-US"/>
        </w:rPr>
        <w:t>i</w:t>
      </w:r>
      <w:proofErr w:type="spellEnd"/>
      <w:proofErr w:type="gramEnd"/>
      <w:r w:rsidRPr="002313A7">
        <w:rPr>
          <w:sz w:val="24"/>
          <w:szCs w:val="24"/>
        </w:rPr>
        <w:t xml:space="preserve"> – вес коэффициента в сводной оценке финансового состояния принципала (</w:t>
      </w:r>
      <w:proofErr w:type="spellStart"/>
      <w:r w:rsidRPr="002313A7">
        <w:rPr>
          <w:sz w:val="24"/>
          <w:szCs w:val="24"/>
          <w:lang w:val="en-US"/>
        </w:rPr>
        <w:t>i</w:t>
      </w:r>
      <w:proofErr w:type="spellEnd"/>
      <w:r w:rsidRPr="002313A7">
        <w:rPr>
          <w:sz w:val="24"/>
          <w:szCs w:val="24"/>
        </w:rPr>
        <w:t xml:space="preserve"> = 1,2,3,4,5). Значения весов показателей приведены в таблице 2.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  <w:u w:val="single"/>
        </w:rPr>
        <w:t>Таблица 2</w:t>
      </w:r>
      <w:r w:rsidRPr="002313A7">
        <w:rPr>
          <w:sz w:val="24"/>
          <w:szCs w:val="24"/>
        </w:rPr>
        <w:t>. Веса показателей в сводной оценке финансового состояния принципала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2313A7" w:rsidRPr="002313A7" w:rsidTr="008B0513">
        <w:tc>
          <w:tcPr>
            <w:tcW w:w="959" w:type="dxa"/>
            <w:vAlign w:val="center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№</w:t>
            </w:r>
            <w:r w:rsidRPr="002313A7">
              <w:rPr>
                <w:sz w:val="24"/>
                <w:szCs w:val="24"/>
              </w:rPr>
              <w:br/>
            </w:r>
            <w:proofErr w:type="gramStart"/>
            <w:r w:rsidRPr="002313A7">
              <w:rPr>
                <w:sz w:val="24"/>
                <w:szCs w:val="24"/>
              </w:rPr>
              <w:t>п</w:t>
            </w:r>
            <w:proofErr w:type="gramEnd"/>
            <w:r w:rsidRPr="002313A7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Показатель</w:t>
            </w:r>
          </w:p>
        </w:tc>
        <w:tc>
          <w:tcPr>
            <w:tcW w:w="1666" w:type="dxa"/>
            <w:vAlign w:val="center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Вес показателя</w:t>
            </w:r>
          </w:p>
        </w:tc>
      </w:tr>
      <w:tr w:rsidR="002313A7" w:rsidRPr="002313A7" w:rsidTr="008B0513">
        <w:tc>
          <w:tcPr>
            <w:tcW w:w="959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313A7" w:rsidRPr="002313A7" w:rsidRDefault="002313A7" w:rsidP="002313A7">
            <w:pPr>
              <w:jc w:val="both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2313A7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2313A7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0,11</w:t>
            </w:r>
          </w:p>
        </w:tc>
      </w:tr>
      <w:tr w:rsidR="002313A7" w:rsidRPr="002313A7" w:rsidTr="008B0513">
        <w:tc>
          <w:tcPr>
            <w:tcW w:w="959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313A7" w:rsidRPr="002313A7" w:rsidRDefault="002313A7" w:rsidP="002313A7">
            <w:pPr>
              <w:jc w:val="both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Коэффициент быстрой (промежуточной) ликвидности (К</w:t>
            </w:r>
            <w:proofErr w:type="gramStart"/>
            <w:r w:rsidRPr="002313A7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2313A7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0,05</w:t>
            </w:r>
          </w:p>
        </w:tc>
      </w:tr>
      <w:tr w:rsidR="002313A7" w:rsidRPr="002313A7" w:rsidTr="008B0513">
        <w:tc>
          <w:tcPr>
            <w:tcW w:w="959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313A7" w:rsidRPr="002313A7" w:rsidRDefault="002313A7" w:rsidP="002313A7">
            <w:pPr>
              <w:jc w:val="both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Коэффициент текущей (общей) ликвидности (К</w:t>
            </w:r>
            <w:r w:rsidRPr="002313A7">
              <w:rPr>
                <w:sz w:val="24"/>
                <w:szCs w:val="24"/>
                <w:vertAlign w:val="subscript"/>
              </w:rPr>
              <w:t>3</w:t>
            </w:r>
            <w:r w:rsidRPr="002313A7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0,42</w:t>
            </w:r>
          </w:p>
        </w:tc>
      </w:tr>
      <w:tr w:rsidR="002313A7" w:rsidRPr="002313A7" w:rsidTr="008B0513">
        <w:tc>
          <w:tcPr>
            <w:tcW w:w="959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313A7" w:rsidRPr="002313A7" w:rsidRDefault="002313A7" w:rsidP="002313A7">
            <w:pPr>
              <w:jc w:val="both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Коэффициент соотношения собственных и заемных средств (К</w:t>
            </w:r>
            <w:proofErr w:type="gramStart"/>
            <w:r w:rsidRPr="002313A7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2313A7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0,21</w:t>
            </w:r>
          </w:p>
        </w:tc>
      </w:tr>
      <w:tr w:rsidR="002313A7" w:rsidRPr="002313A7" w:rsidTr="008B0513">
        <w:tc>
          <w:tcPr>
            <w:tcW w:w="959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313A7" w:rsidRPr="002313A7" w:rsidRDefault="002313A7" w:rsidP="002313A7">
            <w:pPr>
              <w:jc w:val="both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Коэффициент рентабельности (К</w:t>
            </w:r>
            <w:r w:rsidRPr="002313A7">
              <w:rPr>
                <w:sz w:val="24"/>
                <w:szCs w:val="24"/>
                <w:vertAlign w:val="subscript"/>
              </w:rPr>
              <w:t>5</w:t>
            </w:r>
            <w:r w:rsidRPr="002313A7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2313A7" w:rsidRPr="002313A7" w:rsidRDefault="002313A7" w:rsidP="002313A7">
            <w:pPr>
              <w:jc w:val="center"/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0,21</w:t>
            </w:r>
          </w:p>
        </w:tc>
      </w:tr>
    </w:tbl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Кат</w:t>
      </w:r>
      <w:proofErr w:type="spellStart"/>
      <w:proofErr w:type="gramStart"/>
      <w:r w:rsidRPr="002313A7">
        <w:rPr>
          <w:sz w:val="24"/>
          <w:szCs w:val="24"/>
          <w:lang w:val="en-US"/>
        </w:rPr>
        <w:t>i</w:t>
      </w:r>
      <w:proofErr w:type="spellEnd"/>
      <w:proofErr w:type="gramEnd"/>
      <w:r w:rsidRPr="002313A7">
        <w:rPr>
          <w:sz w:val="24"/>
          <w:szCs w:val="24"/>
        </w:rPr>
        <w:t xml:space="preserve"> – категория, к которой относится значение показателя коэффициента (категория 1,2 либо 3 в таблице 1).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3.3. На основе значения сводной оценки финансовое состояние принципала определяется как: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- хорошее, если значение сводной оценки не превышает 1,05 (первый класс кредитоспособности – кредитование не вызывает сомнений);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- удовлетворительное, если значение сводной оценки больше 1,05, но не превышает 2,4 (второй класс кредитоспособности – кредитование требует взвешенного подхода);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- неудовлетворительное, если значение сводной оценки больше 2,4 (третий класс кредитоспособности – кредитование связано с повышенным риском).</w:t>
      </w:r>
    </w:p>
    <w:p w:rsidR="002313A7" w:rsidRPr="002313A7" w:rsidRDefault="002313A7" w:rsidP="002313A7">
      <w:pPr>
        <w:ind w:firstLine="360"/>
        <w:contextualSpacing/>
        <w:jc w:val="both"/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p w:rsidR="002313A7" w:rsidRPr="002313A7" w:rsidRDefault="002313A7" w:rsidP="002313A7">
      <w:pPr>
        <w:rPr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2313A7" w:rsidRPr="002313A7" w:rsidTr="008B05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57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78"/>
            </w:tblGrid>
            <w:tr w:rsidR="002313A7" w:rsidRPr="002313A7" w:rsidTr="008B0513">
              <w:trPr>
                <w:trHeight w:val="1352"/>
              </w:trPr>
              <w:tc>
                <w:tcPr>
                  <w:tcW w:w="3578" w:type="dxa"/>
                </w:tcPr>
                <w:p w:rsidR="002313A7" w:rsidRPr="002313A7" w:rsidRDefault="002313A7" w:rsidP="002313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3A7">
                    <w:rPr>
                      <w:color w:val="000000"/>
                    </w:rPr>
                    <w:lastRenderedPageBreak/>
                    <w:t>Приложение 1</w:t>
                  </w:r>
                </w:p>
                <w:p w:rsidR="002313A7" w:rsidRPr="002313A7" w:rsidRDefault="002313A7" w:rsidP="002313A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2313A7">
                    <w:rPr>
                      <w:color w:val="000000"/>
                    </w:rPr>
                    <w:t xml:space="preserve">к Порядку осуществления анализа финансового состояния принципала при предоставлении муниципальной гарантии администрации </w:t>
                  </w:r>
                  <w:proofErr w:type="spellStart"/>
                  <w:r w:rsidRPr="002313A7">
                    <w:rPr>
                      <w:color w:val="000000"/>
                    </w:rPr>
                    <w:t>Корсаковского</w:t>
                  </w:r>
                  <w:proofErr w:type="spellEnd"/>
                  <w:r w:rsidRPr="002313A7">
                    <w:rPr>
                      <w:color w:val="000000"/>
                    </w:rPr>
                    <w:t xml:space="preserve"> городского округа, а также мониторинга финансового состояния принципала после предоставления муниципальной гарантии</w:t>
                  </w:r>
                </w:p>
                <w:p w:rsidR="002313A7" w:rsidRPr="002313A7" w:rsidRDefault="002313A7" w:rsidP="002313A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313A7" w:rsidRPr="002313A7" w:rsidRDefault="002313A7" w:rsidP="002313A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313A7" w:rsidRPr="002313A7" w:rsidRDefault="002313A7" w:rsidP="002313A7">
      <w:pPr>
        <w:ind w:firstLine="360"/>
        <w:contextualSpacing/>
        <w:jc w:val="center"/>
        <w:rPr>
          <w:sz w:val="24"/>
          <w:szCs w:val="24"/>
        </w:rPr>
      </w:pPr>
    </w:p>
    <w:p w:rsidR="002313A7" w:rsidRPr="002313A7" w:rsidRDefault="002313A7" w:rsidP="002313A7">
      <w:pPr>
        <w:contextualSpacing/>
        <w:jc w:val="center"/>
        <w:rPr>
          <w:sz w:val="24"/>
          <w:szCs w:val="24"/>
        </w:rPr>
      </w:pPr>
      <w:r w:rsidRPr="002313A7">
        <w:rPr>
          <w:sz w:val="24"/>
          <w:szCs w:val="24"/>
        </w:rPr>
        <w:t>ЗАКЛЮЧЕНИЕ</w:t>
      </w:r>
      <w:r w:rsidRPr="002313A7">
        <w:rPr>
          <w:sz w:val="24"/>
          <w:szCs w:val="24"/>
        </w:rPr>
        <w:br/>
        <w:t>по результатам анализа финансового состояния принципала</w:t>
      </w:r>
      <w:r w:rsidRPr="002313A7">
        <w:rPr>
          <w:sz w:val="24"/>
          <w:szCs w:val="24"/>
        </w:rPr>
        <w:br/>
        <w:t>в целях предоставления (после предоставления) муниципальной гарантии</w:t>
      </w:r>
      <w:r w:rsidRPr="002313A7">
        <w:rPr>
          <w:sz w:val="24"/>
          <w:szCs w:val="24"/>
        </w:rPr>
        <w:br/>
        <w:t xml:space="preserve">администрации </w:t>
      </w:r>
      <w:proofErr w:type="spellStart"/>
      <w:r w:rsidRPr="002313A7">
        <w:rPr>
          <w:sz w:val="24"/>
          <w:szCs w:val="24"/>
        </w:rPr>
        <w:t>Корсаковского</w:t>
      </w:r>
      <w:proofErr w:type="spellEnd"/>
      <w:r w:rsidRPr="002313A7">
        <w:rPr>
          <w:sz w:val="24"/>
          <w:szCs w:val="24"/>
        </w:rPr>
        <w:t xml:space="preserve"> городского округа</w:t>
      </w:r>
    </w:p>
    <w:p w:rsidR="002313A7" w:rsidRPr="002313A7" w:rsidRDefault="002313A7" w:rsidP="002313A7">
      <w:pPr>
        <w:ind w:firstLine="360"/>
        <w:contextualSpacing/>
        <w:jc w:val="center"/>
        <w:rPr>
          <w:sz w:val="24"/>
          <w:szCs w:val="24"/>
        </w:rPr>
      </w:pP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Анализ финансового состояния _____________________________________________</w:t>
      </w:r>
    </w:p>
    <w:p w:rsidR="002313A7" w:rsidRPr="002313A7" w:rsidRDefault="002313A7" w:rsidP="002313A7">
      <w:pPr>
        <w:ind w:firstLine="360"/>
        <w:contextualSpacing/>
        <w:jc w:val="both"/>
        <w:rPr>
          <w:sz w:val="18"/>
          <w:szCs w:val="18"/>
        </w:rPr>
      </w:pP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18"/>
          <w:szCs w:val="18"/>
        </w:rPr>
        <w:t>(наименование принципала)</w:t>
      </w:r>
    </w:p>
    <w:p w:rsidR="002313A7" w:rsidRPr="002313A7" w:rsidRDefault="002313A7" w:rsidP="002313A7">
      <w:pPr>
        <w:contextualSpacing/>
        <w:jc w:val="both"/>
        <w:rPr>
          <w:sz w:val="24"/>
          <w:szCs w:val="24"/>
        </w:rPr>
      </w:pPr>
      <w:proofErr w:type="gramStart"/>
      <w:r w:rsidRPr="002313A7">
        <w:rPr>
          <w:sz w:val="24"/>
          <w:szCs w:val="24"/>
        </w:rPr>
        <w:t>проведен</w:t>
      </w:r>
      <w:proofErr w:type="gramEnd"/>
      <w:r w:rsidRPr="002313A7">
        <w:rPr>
          <w:sz w:val="24"/>
          <w:szCs w:val="24"/>
        </w:rPr>
        <w:t xml:space="preserve"> на основании бухгалтерского баланса, отчета о прибылях и убытках, а также дополнительной информации, предоставленной принципалом.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В результате проведенного анализа финансового состояния принципала установлено следующее.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1. Сводная оценка финансового состояния принципала (</w:t>
      </w:r>
      <w:r w:rsidRPr="002313A7">
        <w:rPr>
          <w:sz w:val="24"/>
          <w:szCs w:val="24"/>
          <w:lang w:val="en-US"/>
        </w:rPr>
        <w:t>S</w:t>
      </w:r>
      <w:r w:rsidRPr="002313A7">
        <w:rPr>
          <w:sz w:val="24"/>
          <w:szCs w:val="24"/>
        </w:rPr>
        <w:t>):</w:t>
      </w:r>
    </w:p>
    <w:p w:rsidR="002313A7" w:rsidRPr="002313A7" w:rsidRDefault="002313A7" w:rsidP="002313A7">
      <w:pPr>
        <w:ind w:firstLine="567"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за __________ год = _____;</w:t>
      </w:r>
    </w:p>
    <w:p w:rsidR="002313A7" w:rsidRPr="002313A7" w:rsidRDefault="002313A7" w:rsidP="002313A7">
      <w:pPr>
        <w:ind w:firstLine="567"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за __________ год = _____;</w:t>
      </w:r>
    </w:p>
    <w:p w:rsidR="002313A7" w:rsidRPr="002313A7" w:rsidRDefault="002313A7" w:rsidP="002313A7">
      <w:pPr>
        <w:ind w:firstLine="567"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за __________ год = _____.</w:t>
      </w:r>
    </w:p>
    <w:p w:rsidR="002313A7" w:rsidRPr="002313A7" w:rsidRDefault="002313A7" w:rsidP="002313A7">
      <w:pPr>
        <w:ind w:left="705"/>
        <w:jc w:val="both"/>
        <w:rPr>
          <w:sz w:val="18"/>
          <w:szCs w:val="18"/>
        </w:rPr>
      </w:pPr>
      <w:r w:rsidRPr="002313A7">
        <w:rPr>
          <w:sz w:val="18"/>
          <w:szCs w:val="18"/>
        </w:rPr>
        <w:t>(отчетный период)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2. На основе значения сводной оценки финансовое состояние принципала в соответствии с пунктом 3.3 Порядка оценивается:</w:t>
      </w:r>
    </w:p>
    <w:p w:rsidR="002313A7" w:rsidRPr="002313A7" w:rsidRDefault="002313A7" w:rsidP="002313A7">
      <w:pPr>
        <w:ind w:firstLine="567"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за _________ год как _______________________________________________________;</w:t>
      </w:r>
    </w:p>
    <w:p w:rsidR="002313A7" w:rsidRPr="002313A7" w:rsidRDefault="002313A7" w:rsidP="002313A7">
      <w:pPr>
        <w:ind w:left="705"/>
        <w:contextualSpacing/>
        <w:jc w:val="both"/>
        <w:rPr>
          <w:sz w:val="18"/>
          <w:szCs w:val="18"/>
        </w:rPr>
      </w:pP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  <w:t xml:space="preserve">             </w:t>
      </w:r>
      <w:r w:rsidRPr="002313A7">
        <w:rPr>
          <w:sz w:val="18"/>
          <w:szCs w:val="18"/>
        </w:rPr>
        <w:t>(хорошее, удовлетворительное, неудовлетворительное)</w:t>
      </w:r>
    </w:p>
    <w:p w:rsidR="002313A7" w:rsidRPr="002313A7" w:rsidRDefault="002313A7" w:rsidP="002313A7">
      <w:pPr>
        <w:ind w:firstLine="567"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за _________ год как _______________________________________________________;</w:t>
      </w:r>
    </w:p>
    <w:p w:rsidR="002313A7" w:rsidRPr="002313A7" w:rsidRDefault="002313A7" w:rsidP="002313A7">
      <w:pPr>
        <w:ind w:left="705"/>
        <w:contextualSpacing/>
        <w:jc w:val="both"/>
        <w:rPr>
          <w:sz w:val="18"/>
          <w:szCs w:val="18"/>
        </w:rPr>
      </w:pP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  <w:t xml:space="preserve">           </w:t>
      </w:r>
      <w:r w:rsidRPr="002313A7">
        <w:rPr>
          <w:sz w:val="18"/>
          <w:szCs w:val="18"/>
        </w:rPr>
        <w:t xml:space="preserve">  (хорошее, удовлетворительное, неудовлетворительное)</w:t>
      </w:r>
    </w:p>
    <w:p w:rsidR="002313A7" w:rsidRPr="002313A7" w:rsidRDefault="002313A7" w:rsidP="002313A7">
      <w:pPr>
        <w:ind w:firstLine="567"/>
        <w:contextualSpacing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за _________ год как _______________________________________________________.</w:t>
      </w:r>
    </w:p>
    <w:p w:rsidR="002313A7" w:rsidRPr="002313A7" w:rsidRDefault="002313A7" w:rsidP="002313A7">
      <w:pPr>
        <w:ind w:left="705"/>
        <w:contextualSpacing/>
        <w:jc w:val="both"/>
        <w:rPr>
          <w:sz w:val="18"/>
          <w:szCs w:val="18"/>
        </w:rPr>
      </w:pPr>
      <w:r w:rsidRPr="002313A7">
        <w:rPr>
          <w:sz w:val="18"/>
          <w:szCs w:val="18"/>
        </w:rPr>
        <w:t xml:space="preserve"> (отчетный период)                             (</w:t>
      </w:r>
      <w:proofErr w:type="gramStart"/>
      <w:r w:rsidRPr="002313A7">
        <w:rPr>
          <w:sz w:val="18"/>
          <w:szCs w:val="18"/>
        </w:rPr>
        <w:t>хорошее</w:t>
      </w:r>
      <w:proofErr w:type="gramEnd"/>
      <w:r w:rsidRPr="002313A7">
        <w:rPr>
          <w:sz w:val="18"/>
          <w:szCs w:val="18"/>
        </w:rPr>
        <w:t>, удовлетворительное, неудовлетворительное)</w:t>
      </w:r>
    </w:p>
    <w:p w:rsidR="002313A7" w:rsidRPr="002313A7" w:rsidRDefault="002313A7" w:rsidP="002313A7">
      <w:pPr>
        <w:ind w:left="705"/>
        <w:contextualSpacing/>
        <w:jc w:val="both"/>
        <w:rPr>
          <w:sz w:val="24"/>
          <w:szCs w:val="24"/>
        </w:rPr>
      </w:pPr>
    </w:p>
    <w:p w:rsidR="002313A7" w:rsidRPr="002313A7" w:rsidRDefault="002313A7" w:rsidP="002313A7">
      <w:pPr>
        <w:contextualSpacing/>
        <w:jc w:val="center"/>
        <w:rPr>
          <w:sz w:val="24"/>
          <w:szCs w:val="24"/>
        </w:rPr>
      </w:pPr>
      <w:r w:rsidRPr="002313A7">
        <w:rPr>
          <w:sz w:val="24"/>
          <w:szCs w:val="24"/>
        </w:rPr>
        <w:t xml:space="preserve">         Предоставление муниципальной гарантии__________________________________________</w:t>
      </w:r>
    </w:p>
    <w:p w:rsidR="002313A7" w:rsidRPr="002313A7" w:rsidRDefault="002313A7" w:rsidP="002313A7">
      <w:pPr>
        <w:jc w:val="center"/>
        <w:rPr>
          <w:sz w:val="18"/>
          <w:szCs w:val="18"/>
        </w:rPr>
      </w:pPr>
      <w:r w:rsidRPr="002313A7">
        <w:rPr>
          <w:sz w:val="18"/>
          <w:szCs w:val="18"/>
        </w:rPr>
        <w:t xml:space="preserve">                                                                                     (наименование принципала)</w:t>
      </w:r>
    </w:p>
    <w:p w:rsidR="002313A7" w:rsidRPr="002313A7" w:rsidRDefault="002313A7" w:rsidP="002313A7">
      <w:pPr>
        <w:ind w:left="2268" w:hanging="2268"/>
        <w:jc w:val="both"/>
        <w:rPr>
          <w:sz w:val="24"/>
          <w:szCs w:val="24"/>
        </w:rPr>
      </w:pPr>
      <w:r w:rsidRPr="002313A7">
        <w:rPr>
          <w:sz w:val="24"/>
          <w:szCs w:val="24"/>
        </w:rPr>
        <w:t>имеет ______________________________ степень риска.</w:t>
      </w:r>
    </w:p>
    <w:p w:rsidR="002313A7" w:rsidRPr="002313A7" w:rsidRDefault="002313A7" w:rsidP="002313A7">
      <w:pPr>
        <w:ind w:left="2268" w:hanging="2268"/>
        <w:jc w:val="both"/>
        <w:rPr>
          <w:sz w:val="18"/>
          <w:szCs w:val="18"/>
        </w:rPr>
      </w:pPr>
      <w:r w:rsidRPr="002313A7">
        <w:rPr>
          <w:sz w:val="18"/>
          <w:szCs w:val="18"/>
        </w:rPr>
        <w:t xml:space="preserve">                             (высокую, среднюю, низкую)</w:t>
      </w:r>
    </w:p>
    <w:p w:rsidR="002313A7" w:rsidRPr="002313A7" w:rsidRDefault="002313A7" w:rsidP="002313A7">
      <w:pPr>
        <w:ind w:left="2268" w:hanging="2268"/>
        <w:jc w:val="both"/>
        <w:rPr>
          <w:sz w:val="24"/>
          <w:szCs w:val="24"/>
        </w:rPr>
      </w:pPr>
    </w:p>
    <w:p w:rsidR="002313A7" w:rsidRPr="002313A7" w:rsidRDefault="002313A7" w:rsidP="002313A7">
      <w:pPr>
        <w:ind w:left="2268" w:hanging="1560"/>
        <w:jc w:val="both"/>
        <w:rPr>
          <w:sz w:val="18"/>
          <w:szCs w:val="18"/>
        </w:rPr>
      </w:pPr>
    </w:p>
    <w:p w:rsidR="002313A7" w:rsidRPr="002313A7" w:rsidRDefault="002313A7" w:rsidP="002313A7">
      <w:pPr>
        <w:ind w:left="1985" w:hanging="1418"/>
        <w:jc w:val="both"/>
        <w:rPr>
          <w:sz w:val="24"/>
          <w:szCs w:val="24"/>
        </w:rPr>
      </w:pPr>
      <w:r w:rsidRPr="002313A7">
        <w:rPr>
          <w:sz w:val="24"/>
          <w:szCs w:val="24"/>
        </w:rPr>
        <w:t xml:space="preserve">Приложение: расчет базовых финансовых индикаторов и сводной оценки финансового состояния принципала на ___ </w:t>
      </w:r>
      <w:proofErr w:type="gramStart"/>
      <w:r w:rsidRPr="002313A7">
        <w:rPr>
          <w:sz w:val="24"/>
          <w:szCs w:val="24"/>
        </w:rPr>
        <w:t>л</w:t>
      </w:r>
      <w:proofErr w:type="gramEnd"/>
      <w:r w:rsidRPr="002313A7">
        <w:rPr>
          <w:sz w:val="24"/>
          <w:szCs w:val="24"/>
        </w:rPr>
        <w:t>.</w:t>
      </w:r>
    </w:p>
    <w:p w:rsidR="002313A7" w:rsidRPr="002313A7" w:rsidRDefault="002313A7" w:rsidP="002313A7">
      <w:pPr>
        <w:jc w:val="both"/>
        <w:rPr>
          <w:sz w:val="24"/>
          <w:szCs w:val="24"/>
        </w:rPr>
      </w:pPr>
    </w:p>
    <w:p w:rsidR="002313A7" w:rsidRPr="002313A7" w:rsidRDefault="002313A7" w:rsidP="002313A7">
      <w:pPr>
        <w:jc w:val="both"/>
        <w:rPr>
          <w:sz w:val="24"/>
          <w:szCs w:val="24"/>
        </w:rPr>
      </w:pPr>
      <w:r w:rsidRPr="002313A7">
        <w:rPr>
          <w:sz w:val="24"/>
          <w:szCs w:val="24"/>
        </w:rPr>
        <w:t>Директор департамента финансов</w:t>
      </w:r>
      <w:r w:rsidRPr="002313A7">
        <w:rPr>
          <w:sz w:val="24"/>
          <w:szCs w:val="24"/>
        </w:rPr>
        <w:tab/>
        <w:t>___________________     _____________________</w:t>
      </w:r>
    </w:p>
    <w:p w:rsidR="002313A7" w:rsidRPr="002313A7" w:rsidRDefault="002313A7" w:rsidP="002313A7">
      <w:pPr>
        <w:jc w:val="both"/>
        <w:rPr>
          <w:sz w:val="18"/>
          <w:szCs w:val="18"/>
        </w:rPr>
      </w:pP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24"/>
          <w:szCs w:val="24"/>
        </w:rPr>
        <w:tab/>
      </w:r>
      <w:r w:rsidRPr="002313A7">
        <w:rPr>
          <w:sz w:val="18"/>
          <w:szCs w:val="18"/>
        </w:rPr>
        <w:t xml:space="preserve">         (подпись)</w:t>
      </w:r>
      <w:r w:rsidRPr="002313A7">
        <w:rPr>
          <w:sz w:val="18"/>
          <w:szCs w:val="18"/>
        </w:rPr>
        <w:tab/>
        <w:t xml:space="preserve">        </w:t>
      </w:r>
      <w:r w:rsidRPr="002313A7">
        <w:rPr>
          <w:sz w:val="18"/>
          <w:szCs w:val="18"/>
        </w:rPr>
        <w:tab/>
        <w:t xml:space="preserve">                   (инициалы, фамилия)</w:t>
      </w:r>
    </w:p>
    <w:p w:rsidR="002313A7" w:rsidRPr="002313A7" w:rsidRDefault="002313A7" w:rsidP="002313A7">
      <w:pPr>
        <w:jc w:val="both"/>
        <w:rPr>
          <w:sz w:val="24"/>
          <w:szCs w:val="24"/>
        </w:rPr>
      </w:pPr>
    </w:p>
    <w:p w:rsidR="002313A7" w:rsidRPr="002313A7" w:rsidRDefault="002313A7" w:rsidP="002313A7">
      <w:pPr>
        <w:jc w:val="both"/>
        <w:rPr>
          <w:sz w:val="24"/>
          <w:szCs w:val="24"/>
        </w:rPr>
      </w:pPr>
      <w:r w:rsidRPr="002313A7">
        <w:rPr>
          <w:sz w:val="24"/>
          <w:szCs w:val="24"/>
        </w:rPr>
        <w:t>Исполнитель:</w:t>
      </w:r>
    </w:p>
    <w:p w:rsidR="002313A7" w:rsidRPr="002313A7" w:rsidRDefault="002313A7" w:rsidP="002313A7">
      <w:pPr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tbl>
      <w:tblPr>
        <w:tblStyle w:val="10"/>
        <w:tblW w:w="0" w:type="auto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2313A7" w:rsidRPr="002313A7" w:rsidTr="002313A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lastRenderedPageBreak/>
              <w:t>УТВЕРЖДЕН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постановлением администрации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proofErr w:type="spellStart"/>
            <w:r w:rsidRPr="002313A7">
              <w:rPr>
                <w:sz w:val="24"/>
                <w:szCs w:val="24"/>
              </w:rPr>
              <w:t>Корсаковского</w:t>
            </w:r>
            <w:proofErr w:type="spellEnd"/>
            <w:r w:rsidRPr="002313A7">
              <w:rPr>
                <w:sz w:val="24"/>
                <w:szCs w:val="24"/>
              </w:rPr>
              <w:t xml:space="preserve"> городского округа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от ________________ № _______</w:t>
            </w:r>
          </w:p>
        </w:tc>
      </w:tr>
    </w:tbl>
    <w:p w:rsidR="002313A7" w:rsidRPr="002313A7" w:rsidRDefault="002313A7" w:rsidP="002313A7">
      <w:pPr>
        <w:ind w:left="5245"/>
        <w:jc w:val="center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2313A7">
      <w:pPr>
        <w:jc w:val="center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Порядок </w:t>
      </w:r>
    </w:p>
    <w:p w:rsidR="002313A7" w:rsidRPr="002313A7" w:rsidRDefault="002313A7" w:rsidP="002313A7">
      <w:pPr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осуществления проверки достаточности, надежности и ликвидности обеспечения при предоставлении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округа, а также 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 достаточностью, надежностью и ликвидностью предоставленного обеспечения после предоставления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2313A7" w:rsidRPr="002313A7" w:rsidRDefault="002313A7" w:rsidP="002313A7">
      <w:pPr>
        <w:jc w:val="center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F23528">
      <w:pPr>
        <w:numPr>
          <w:ilvl w:val="0"/>
          <w:numId w:val="5"/>
        </w:numPr>
        <w:spacing w:after="160" w:line="257" w:lineRule="auto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Настоящий порядок устанавливает требования к осуществлению проверки достаточности, надежности и ликвидности обеспечения при предоставлении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(далее – гарантия), а также 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 достаточностью, надежностью и ликвидностью предоставленного обеспечения после предоставления гарантии.</w:t>
      </w:r>
    </w:p>
    <w:p w:rsidR="002313A7" w:rsidRPr="002313A7" w:rsidRDefault="002313A7" w:rsidP="002313A7">
      <w:pPr>
        <w:numPr>
          <w:ilvl w:val="0"/>
          <w:numId w:val="5"/>
        </w:numPr>
        <w:spacing w:after="160" w:line="256" w:lineRule="auto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Не допускается принятие в качестве обеспечения исполнения банковских гарантий и поручительств юридических лиц, имеющих просроченную (неурегулированную) задолженность по денежным обязательствам перед бюджетами всех уровней в соответствии с налоговым законодательством Российской Федерации.</w:t>
      </w:r>
    </w:p>
    <w:p w:rsidR="002313A7" w:rsidRPr="002313A7" w:rsidRDefault="002313A7" w:rsidP="002313A7">
      <w:pPr>
        <w:numPr>
          <w:ilvl w:val="0"/>
          <w:numId w:val="5"/>
        </w:numPr>
        <w:spacing w:after="160" w:line="256" w:lineRule="auto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Проверка достаточности, надежности и ликвидности обеспечения гарантии осуществляется департаментом финансов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(далее – департамент финансов) до предоставления гарантии, а также после ее предоставления в течение срока действия предоставленной гарантии ежегодно не позднее 1 июня текущего года до прекращения обязательств по гарантии.</w:t>
      </w:r>
    </w:p>
    <w:p w:rsidR="002313A7" w:rsidRPr="002313A7" w:rsidRDefault="002313A7" w:rsidP="002313A7">
      <w:pPr>
        <w:numPr>
          <w:ilvl w:val="0"/>
          <w:numId w:val="5"/>
        </w:numPr>
        <w:spacing w:after="160" w:line="256" w:lineRule="auto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Проведение проверки достаточности, надежности и ликвидности обеспечения гарантии осуществляется на основе анализа следующих документов, представляемых принципалом совместно с документами для проведения предварительного анализа финансового состояния принципала:</w:t>
      </w:r>
    </w:p>
    <w:p w:rsidR="002313A7" w:rsidRPr="002313A7" w:rsidRDefault="002313A7" w:rsidP="002313A7">
      <w:pPr>
        <w:numPr>
          <w:ilvl w:val="1"/>
          <w:numId w:val="5"/>
        </w:numPr>
        <w:spacing w:after="160"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 В случае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,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 если исполнение обязательств принципала обеспечивается банковской гарантией, принципал предоставляет следующие документы:</w:t>
      </w:r>
    </w:p>
    <w:p w:rsidR="002313A7" w:rsidRPr="002313A7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гарантийное письмо банка-гаранта, не являющегося кредитором принципала по кредиту, о намерении выдачи банковской гарантии;</w:t>
      </w:r>
    </w:p>
    <w:p w:rsidR="002313A7" w:rsidRPr="002313A7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копию лицензии Центрального банка Российской Федерации на осуществление банковских операций банка-гаранта;</w:t>
      </w:r>
    </w:p>
    <w:p w:rsidR="002313A7" w:rsidRPr="002313A7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выписку из ЕГРЮЛ, выданную не ранее, чем за 1 месяц до ее представления;</w:t>
      </w:r>
    </w:p>
    <w:p w:rsidR="002313A7" w:rsidRPr="002313A7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справку о стоимости чистых активов банка-гаранта, выданную не ранее, чем за 10 дней до даты подачи заявки;</w:t>
      </w:r>
    </w:p>
    <w:p w:rsidR="002313A7" w:rsidRPr="002313A7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справку об отсутствии задолженности по налоговым платежам перед бюджетами всех уровней, выданную налоговым органом не ранее, чем за 10 дней до даты подачи заявки принципала;</w:t>
      </w:r>
    </w:p>
    <w:p w:rsidR="002313A7" w:rsidRPr="002313A7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- справку об отсутствии задолженности по арендным платежам перед местным бюджетом, выданную департаментом имущественных отношений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не ранее, чем за 10 дней до даты подачи заявки принципала (в случае, если банк является плательщиком указанного неналогового дохода).</w:t>
      </w:r>
    </w:p>
    <w:p w:rsidR="00097BFA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4.2. В случае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,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 если исполнение обязательств принципала обеспечивается поручением третьих лиц, принципал предоставляет </w:t>
      </w:r>
      <w:r w:rsidR="00097BFA">
        <w:rPr>
          <w:rFonts w:eastAsia="Calibri"/>
          <w:sz w:val="24"/>
          <w:szCs w:val="24"/>
          <w:lang w:eastAsia="en-US"/>
        </w:rPr>
        <w:t>следующие документы, касающиеся третьего лица:</w:t>
      </w:r>
    </w:p>
    <w:p w:rsidR="00BD77C2" w:rsidRDefault="00BD77C2" w:rsidP="00BD77C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 бухгалтерские балансы и отчеты о прибылях и убытках</w:t>
      </w:r>
      <w:r w:rsidRPr="002313A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за последний отчетный год и за все отчетные периоды текущего года с отметкой налогового органа об их принятии;</w:t>
      </w:r>
    </w:p>
    <w:p w:rsidR="002313A7" w:rsidRPr="002313A7" w:rsidRDefault="00BD77C2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расшифровку кредиторской и дебиторской задолженности к представленному бухгалтерскому балансу за последний отчетный период и предыдущий отчетному периоду год с указанием даты возникновения и окончания задолженности в соответствии с заключенными договорами</w:t>
      </w:r>
      <w:r w:rsidRPr="002313A7">
        <w:rPr>
          <w:rFonts w:eastAsia="Calibri"/>
          <w:sz w:val="24"/>
          <w:szCs w:val="24"/>
          <w:lang w:eastAsia="en-US"/>
        </w:rPr>
        <w:t>.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4.3. В случае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,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 если исполнение обязательств обеспечивается залогом движимого имущества принципала или третьего лица, дополнительно принципал представляет: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документы, удостоверяющие право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отчет организации-оценщика об оценке рыночной стоимости и ликвидности имущества, предлагаемого для передачи в залог;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документы, подтверждающие фа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кт стр</w:t>
      </w:r>
      <w:proofErr w:type="gramEnd"/>
      <w:r w:rsidRPr="002313A7">
        <w:rPr>
          <w:rFonts w:eastAsia="Calibri"/>
          <w:sz w:val="24"/>
          <w:szCs w:val="24"/>
          <w:lang w:eastAsia="en-US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документы, подтверждающие согласие уполномоченного органа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или иными документами залогодателя).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4.4. В случае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,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 если исполнение обязательств принципала обеспечивается залогом недвижимого имущества претендента или третьего лица, принципал предоставляет: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правоустанавливающие документы, подтверждающие государственную регистрацию права собственности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отчет организации-оценщика об оценке рыночной стоимости и ликвидности имущества, предлагаемого для передачи в залог;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документы, подтверждающие согласие уполномоченного органа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или иными документами залогодателя);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копию уведомления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4.5. </w:t>
      </w:r>
      <w:proofErr w:type="gramStart"/>
      <w:r w:rsidRPr="002313A7">
        <w:rPr>
          <w:rFonts w:eastAsia="Calibri"/>
          <w:sz w:val="24"/>
          <w:szCs w:val="24"/>
          <w:lang w:eastAsia="en-US"/>
        </w:rPr>
        <w:t xml:space="preserve">Проверка достаточности обеспечения заключается в определении соответствия предоставляемого (предоставленного) </w:t>
      </w:r>
      <w:bookmarkStart w:id="4" w:name="_GoBack"/>
      <w:bookmarkEnd w:id="4"/>
      <w:r w:rsidRPr="002313A7">
        <w:rPr>
          <w:rFonts w:eastAsia="Calibri"/>
          <w:sz w:val="24"/>
          <w:szCs w:val="24"/>
          <w:lang w:eastAsia="en-US"/>
        </w:rPr>
        <w:t xml:space="preserve">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гарантии, предусмотренным Порядком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округа.</w:t>
      </w:r>
      <w:proofErr w:type="gramEnd"/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4.6. Надежность банковской гарантии и поручительства определяется устойчивостью финансового состояния банка или иной кредитной организации и поручителя.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4.7. Финансовое состояние банка-гаранта признается устойчивым и банковская гарантия признается надежной, если банк-гарант соответствует одновременно следующим требованиям: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lastRenderedPageBreak/>
        <w:t>- наличие генеральной лицензии Центрального банка Российской Федерации на осуществление банковских операций;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стоимость чистых активов банка-гаранта составляет величину не менее трехкратной суммы предоставляемой банковской гарантии;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в отношении банка-гаранта не возбуждено производство по делу о несостоятельности (банкротстве), банк не находится в процессе реорганизации или ликвидации.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4.8. Оценка финансового состояния поручителя осуществляется в соответствии с Порядком осуществления анализа финансового состояния принципала при предоставлении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округа, а также мониторинга финансового состояния принципала после предоставления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4.9. Оценка имущества, предоставляемого (предоставленного) принципалом или третьим лицом в залог в обеспечение обязатель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ств пр</w:t>
      </w:r>
      <w:proofErr w:type="gramEnd"/>
      <w:r w:rsidRPr="002313A7">
        <w:rPr>
          <w:rFonts w:eastAsia="Calibri"/>
          <w:sz w:val="24"/>
          <w:szCs w:val="24"/>
          <w:lang w:eastAsia="en-US"/>
        </w:rPr>
        <w:t>инципала по удовлетворению регрессного требования гаранта к принципалу, и определение степени ликвидности данного имущества осуществляются в соответствии с абзацем седьмым пункта 3 статьи 93.2 Бюджетного кодекса Российской Федерации.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4.10. Проверка достаточности, надежности и ликвидности обеспечения после предоставления гарантии осуществляется департаментом финансов на основании документов, указанных в подпунктах 4.1 – 4.4 настоящего Порядка, предоставляемых принципалом не позднее 1 мая текущего года, в 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срок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 не превышающий 20 дней.</w:t>
      </w:r>
    </w:p>
    <w:p w:rsidR="002313A7" w:rsidRPr="002313A7" w:rsidRDefault="002313A7" w:rsidP="002313A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2313A7">
      <w:pPr>
        <w:spacing w:after="160" w:line="25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tbl>
      <w:tblPr>
        <w:tblStyle w:val="2"/>
        <w:tblW w:w="0" w:type="auto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2313A7" w:rsidRPr="002313A7" w:rsidTr="00D05D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lastRenderedPageBreak/>
              <w:t>УТВЕРЖДЕН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постановлением администрации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proofErr w:type="spellStart"/>
            <w:r w:rsidRPr="002313A7">
              <w:rPr>
                <w:sz w:val="24"/>
                <w:szCs w:val="24"/>
              </w:rPr>
              <w:t>Корсаковского</w:t>
            </w:r>
            <w:proofErr w:type="spellEnd"/>
            <w:r w:rsidRPr="002313A7">
              <w:rPr>
                <w:sz w:val="24"/>
                <w:szCs w:val="24"/>
              </w:rPr>
              <w:t xml:space="preserve"> городского округа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  <w:r w:rsidRPr="002313A7">
              <w:rPr>
                <w:sz w:val="24"/>
                <w:szCs w:val="24"/>
              </w:rPr>
              <w:t>от ________</w:t>
            </w:r>
            <w:r w:rsidR="00644009">
              <w:rPr>
                <w:sz w:val="24"/>
                <w:szCs w:val="24"/>
              </w:rPr>
              <w:t>___</w:t>
            </w:r>
            <w:r w:rsidRPr="002313A7">
              <w:rPr>
                <w:sz w:val="24"/>
                <w:szCs w:val="24"/>
              </w:rPr>
              <w:t>___ № _</w:t>
            </w:r>
            <w:r w:rsidR="00644009">
              <w:rPr>
                <w:sz w:val="24"/>
                <w:szCs w:val="24"/>
              </w:rPr>
              <w:t>____</w:t>
            </w:r>
            <w:r w:rsidRPr="002313A7">
              <w:rPr>
                <w:sz w:val="24"/>
                <w:szCs w:val="24"/>
              </w:rPr>
              <w:t>___</w:t>
            </w:r>
          </w:p>
          <w:p w:rsidR="002313A7" w:rsidRPr="002313A7" w:rsidRDefault="002313A7" w:rsidP="002313A7">
            <w:pPr>
              <w:rPr>
                <w:sz w:val="24"/>
                <w:szCs w:val="24"/>
              </w:rPr>
            </w:pPr>
          </w:p>
        </w:tc>
      </w:tr>
    </w:tbl>
    <w:p w:rsidR="002313A7" w:rsidRPr="002313A7" w:rsidRDefault="002313A7" w:rsidP="002313A7">
      <w:pPr>
        <w:ind w:left="5245"/>
        <w:jc w:val="center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2313A7">
      <w:pPr>
        <w:jc w:val="center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Порядок </w:t>
      </w:r>
    </w:p>
    <w:p w:rsidR="002313A7" w:rsidRPr="002313A7" w:rsidRDefault="002313A7" w:rsidP="002313A7">
      <w:pPr>
        <w:jc w:val="center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определения минимального объема (суммы) обеспечения исполнения обязательств </w:t>
      </w:r>
    </w:p>
    <w:p w:rsidR="002313A7" w:rsidRPr="002313A7" w:rsidRDefault="002313A7" w:rsidP="002313A7">
      <w:pPr>
        <w:jc w:val="center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принципала по удовлетворению регрессного требования гаранта к принципалу</w:t>
      </w:r>
    </w:p>
    <w:p w:rsidR="002313A7" w:rsidRPr="002313A7" w:rsidRDefault="002313A7" w:rsidP="002313A7">
      <w:pPr>
        <w:jc w:val="center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по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2313A7" w:rsidRPr="002313A7" w:rsidRDefault="002313A7" w:rsidP="002313A7">
      <w:pPr>
        <w:jc w:val="center"/>
        <w:rPr>
          <w:rFonts w:eastAsia="Calibri"/>
          <w:sz w:val="24"/>
          <w:szCs w:val="24"/>
          <w:lang w:eastAsia="en-US"/>
        </w:rPr>
      </w:pPr>
    </w:p>
    <w:p w:rsidR="002313A7" w:rsidRPr="002313A7" w:rsidRDefault="002313A7" w:rsidP="00D05DBF">
      <w:pPr>
        <w:numPr>
          <w:ilvl w:val="0"/>
          <w:numId w:val="6"/>
        </w:numPr>
        <w:spacing w:after="160" w:line="257" w:lineRule="auto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Настоящий порядок устанавливает требования к минимальному объему (суммы) обеспечения исполнения обязатель</w:t>
      </w:r>
      <w:proofErr w:type="gramStart"/>
      <w:r w:rsidRPr="002313A7">
        <w:rPr>
          <w:rFonts w:eastAsia="Calibri"/>
          <w:sz w:val="24"/>
          <w:szCs w:val="24"/>
          <w:lang w:eastAsia="en-US"/>
        </w:rPr>
        <w:t>ств пр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инципала по удовлетворению регрессного требования гаранта к принципалу по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(далее – минимальный объем обеспечения)</w:t>
      </w:r>
      <w:r w:rsidR="00D05DBF">
        <w:rPr>
          <w:rFonts w:eastAsia="Calibri"/>
          <w:sz w:val="24"/>
          <w:szCs w:val="24"/>
          <w:lang w:eastAsia="en-US"/>
        </w:rPr>
        <w:t>.</w:t>
      </w:r>
    </w:p>
    <w:p w:rsidR="002313A7" w:rsidRPr="002313A7" w:rsidRDefault="002313A7" w:rsidP="002313A7">
      <w:pPr>
        <w:numPr>
          <w:ilvl w:val="0"/>
          <w:numId w:val="6"/>
        </w:numPr>
        <w:spacing w:after="160" w:line="256" w:lineRule="auto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Минимальный объем обеспечения устанавливается в зависимости от степени удовлетворительности финансового состояния принципала, определяемой в соответствии с Порядком осуществления анализа финансового состояния принципала при предоставлении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округа, а также мониторинга финансового состояния принципала после предоставления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(приложение 1).</w:t>
      </w:r>
    </w:p>
    <w:p w:rsidR="002313A7" w:rsidRPr="002313A7" w:rsidRDefault="002313A7" w:rsidP="002313A7">
      <w:pPr>
        <w:numPr>
          <w:ilvl w:val="0"/>
          <w:numId w:val="6"/>
        </w:numPr>
        <w:spacing w:after="160" w:line="256" w:lineRule="auto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Минимальный объем обеспечения должен соответствовать:</w:t>
      </w:r>
    </w:p>
    <w:p w:rsidR="002313A7" w:rsidRPr="002313A7" w:rsidRDefault="002313A7" w:rsidP="002313A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 xml:space="preserve">- уровню 100 процентов от суммы муниципальной гарантии администрации </w:t>
      </w:r>
      <w:proofErr w:type="spellStart"/>
      <w:r w:rsidRPr="002313A7">
        <w:rPr>
          <w:rFonts w:eastAsia="Calibri"/>
          <w:sz w:val="24"/>
          <w:szCs w:val="24"/>
          <w:lang w:eastAsia="en-US"/>
        </w:rPr>
        <w:t>Корсаковского</w:t>
      </w:r>
      <w:proofErr w:type="spellEnd"/>
      <w:r w:rsidRPr="002313A7">
        <w:rPr>
          <w:rFonts w:eastAsia="Calibri"/>
          <w:sz w:val="24"/>
          <w:szCs w:val="24"/>
          <w:lang w:eastAsia="en-US"/>
        </w:rPr>
        <w:t xml:space="preserve"> городского округа (далее - гарантия) - при хорошей степени финансового состояния принципала;</w:t>
      </w:r>
    </w:p>
    <w:p w:rsidR="002313A7" w:rsidRPr="002313A7" w:rsidRDefault="002313A7" w:rsidP="002313A7">
      <w:pPr>
        <w:ind w:firstLine="714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13A7">
        <w:rPr>
          <w:rFonts w:eastAsia="Calibri"/>
          <w:sz w:val="24"/>
          <w:szCs w:val="24"/>
          <w:lang w:eastAsia="en-US"/>
        </w:rPr>
        <w:t>- уровню 110 процентов от суммы гарантии – при степени финансового состояния принципала не выше, чем удовлетворительная степень.</w:t>
      </w:r>
    </w:p>
    <w:p w:rsidR="002313A7" w:rsidRPr="002313A7" w:rsidRDefault="002313A7" w:rsidP="002313A7">
      <w:pPr>
        <w:numPr>
          <w:ilvl w:val="0"/>
          <w:numId w:val="6"/>
        </w:numPr>
        <w:spacing w:after="160" w:line="256" w:lineRule="auto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313A7">
        <w:rPr>
          <w:rFonts w:eastAsia="Calibri"/>
          <w:sz w:val="24"/>
          <w:szCs w:val="24"/>
          <w:lang w:eastAsia="en-US"/>
        </w:rPr>
        <w:t>Установить, что при выявлении в течение срока действия гарантии недостаточности предоставленного обеспечения исполнения обязательств принципала по удовлетворению регрессного требования гаранта к принципалу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поручительства, уменьшения рыночной стоимости предмета залога) принципалом в трехмесячный срок</w:t>
      </w:r>
      <w:proofErr w:type="gramEnd"/>
      <w:r w:rsidRPr="002313A7">
        <w:rPr>
          <w:rFonts w:eastAsia="Calibri"/>
          <w:sz w:val="24"/>
          <w:szCs w:val="24"/>
          <w:lang w:eastAsia="en-US"/>
        </w:rPr>
        <w:t xml:space="preserve"> осуществляется замена обеспечения (полная или частичная) либо предоставляется дополнительное (на недостающую сумму) обеспечение с требованиями, установленными Бюджетным кодексом Российской Федерации.</w:t>
      </w:r>
    </w:p>
    <w:p w:rsidR="002313A7" w:rsidRPr="002313A7" w:rsidRDefault="002313A7" w:rsidP="002313A7">
      <w:pPr>
        <w:spacing w:after="160" w:line="256" w:lineRule="auto"/>
        <w:rPr>
          <w:rFonts w:eastAsia="Calibri"/>
          <w:sz w:val="28"/>
          <w:szCs w:val="22"/>
          <w:lang w:eastAsia="en-US"/>
        </w:rPr>
      </w:pPr>
    </w:p>
    <w:p w:rsidR="002313A7" w:rsidRDefault="002313A7" w:rsidP="00E8017C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sectPr w:rsidR="002313A7" w:rsidSect="00325CBC">
      <w:pgSz w:w="11907" w:h="16840"/>
      <w:pgMar w:top="1134" w:right="708" w:bottom="1418" w:left="1701" w:header="567" w:footer="102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9B" w:rsidRDefault="00A5689B">
      <w:r>
        <w:separator/>
      </w:r>
    </w:p>
  </w:endnote>
  <w:endnote w:type="continuationSeparator" w:id="0">
    <w:p w:rsidR="00A5689B" w:rsidRDefault="00A5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9B" w:rsidRDefault="00A5689B">
      <w:r>
        <w:separator/>
      </w:r>
    </w:p>
  </w:footnote>
  <w:footnote w:type="continuationSeparator" w:id="0">
    <w:p w:rsidR="00A5689B" w:rsidRDefault="00A5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83" w:rsidRPr="00875DFC" w:rsidRDefault="002F0783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0D3BA2">
      <w:rPr>
        <w:rStyle w:val="a5"/>
        <w:noProof/>
        <w:sz w:val="26"/>
        <w:szCs w:val="26"/>
      </w:rPr>
      <w:t>9</w:t>
    </w:r>
    <w:r w:rsidRPr="00875DFC">
      <w:rPr>
        <w:rStyle w:val="a5"/>
        <w:sz w:val="26"/>
        <w:szCs w:val="26"/>
      </w:rPr>
      <w:fldChar w:fldCharType="end"/>
    </w:r>
  </w:p>
  <w:p w:rsidR="002F0783" w:rsidRDefault="002F078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BC" w:rsidRDefault="00325CBC">
    <w:pPr>
      <w:pStyle w:val="a3"/>
      <w:jc w:val="center"/>
    </w:pPr>
  </w:p>
  <w:p w:rsidR="00325CBC" w:rsidRDefault="00325C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193"/>
    <w:multiLevelType w:val="multilevel"/>
    <w:tmpl w:val="D2A6D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1BB40D9A"/>
    <w:multiLevelType w:val="multilevel"/>
    <w:tmpl w:val="DAE06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>
    <w:nsid w:val="2C381C48"/>
    <w:multiLevelType w:val="multilevel"/>
    <w:tmpl w:val="F33AB6B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F495F5E"/>
    <w:multiLevelType w:val="multilevel"/>
    <w:tmpl w:val="C47C8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110E0B"/>
    <w:multiLevelType w:val="multilevel"/>
    <w:tmpl w:val="D2A6D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691B6BB2"/>
    <w:multiLevelType w:val="multilevel"/>
    <w:tmpl w:val="D2A6D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D12F39"/>
    <w:rsid w:val="00027628"/>
    <w:rsid w:val="0003534B"/>
    <w:rsid w:val="000373C5"/>
    <w:rsid w:val="000531A5"/>
    <w:rsid w:val="00057543"/>
    <w:rsid w:val="00060D9A"/>
    <w:rsid w:val="00064529"/>
    <w:rsid w:val="0008200E"/>
    <w:rsid w:val="00087618"/>
    <w:rsid w:val="00095806"/>
    <w:rsid w:val="000958DA"/>
    <w:rsid w:val="00097BFA"/>
    <w:rsid w:val="000A26EF"/>
    <w:rsid w:val="000D168B"/>
    <w:rsid w:val="000D3BA2"/>
    <w:rsid w:val="00105D92"/>
    <w:rsid w:val="001115A1"/>
    <w:rsid w:val="0014378F"/>
    <w:rsid w:val="001622C1"/>
    <w:rsid w:val="00172A83"/>
    <w:rsid w:val="001744E9"/>
    <w:rsid w:val="001851F8"/>
    <w:rsid w:val="001A0BD3"/>
    <w:rsid w:val="001A0E4E"/>
    <w:rsid w:val="001B416F"/>
    <w:rsid w:val="001B68A1"/>
    <w:rsid w:val="001C0F0B"/>
    <w:rsid w:val="001C364F"/>
    <w:rsid w:val="001C5A87"/>
    <w:rsid w:val="001C7C82"/>
    <w:rsid w:val="001F3406"/>
    <w:rsid w:val="00211112"/>
    <w:rsid w:val="00224D0B"/>
    <w:rsid w:val="00227232"/>
    <w:rsid w:val="002313A7"/>
    <w:rsid w:val="0023256F"/>
    <w:rsid w:val="00253A82"/>
    <w:rsid w:val="0025569E"/>
    <w:rsid w:val="00263934"/>
    <w:rsid w:val="00264D3C"/>
    <w:rsid w:val="00273BDA"/>
    <w:rsid w:val="00275D1A"/>
    <w:rsid w:val="002A101F"/>
    <w:rsid w:val="002B4BE3"/>
    <w:rsid w:val="002E04F6"/>
    <w:rsid w:val="002F0783"/>
    <w:rsid w:val="002F0DD4"/>
    <w:rsid w:val="002F55AA"/>
    <w:rsid w:val="00323B97"/>
    <w:rsid w:val="0032439B"/>
    <w:rsid w:val="00325CBC"/>
    <w:rsid w:val="003343D0"/>
    <w:rsid w:val="003663F5"/>
    <w:rsid w:val="00367C8D"/>
    <w:rsid w:val="00371670"/>
    <w:rsid w:val="003A0BAB"/>
    <w:rsid w:val="003B25BC"/>
    <w:rsid w:val="003C19C9"/>
    <w:rsid w:val="003C7DFB"/>
    <w:rsid w:val="003D49B3"/>
    <w:rsid w:val="003D62E8"/>
    <w:rsid w:val="003D7972"/>
    <w:rsid w:val="003E3357"/>
    <w:rsid w:val="003F54E7"/>
    <w:rsid w:val="003F60CD"/>
    <w:rsid w:val="004079D3"/>
    <w:rsid w:val="00420FC2"/>
    <w:rsid w:val="004224E5"/>
    <w:rsid w:val="00424D95"/>
    <w:rsid w:val="00432679"/>
    <w:rsid w:val="00436946"/>
    <w:rsid w:val="0045113C"/>
    <w:rsid w:val="0045316F"/>
    <w:rsid w:val="00460C07"/>
    <w:rsid w:val="004A7423"/>
    <w:rsid w:val="004B370F"/>
    <w:rsid w:val="004B7A80"/>
    <w:rsid w:val="004C1AB4"/>
    <w:rsid w:val="004C5B23"/>
    <w:rsid w:val="004D5247"/>
    <w:rsid w:val="004E0127"/>
    <w:rsid w:val="00505153"/>
    <w:rsid w:val="00510B59"/>
    <w:rsid w:val="005308CC"/>
    <w:rsid w:val="0054483B"/>
    <w:rsid w:val="00560247"/>
    <w:rsid w:val="005703E1"/>
    <w:rsid w:val="00574199"/>
    <w:rsid w:val="00576D78"/>
    <w:rsid w:val="00597EB7"/>
    <w:rsid w:val="005A1C02"/>
    <w:rsid w:val="005B04E7"/>
    <w:rsid w:val="005B48D3"/>
    <w:rsid w:val="005B6BC6"/>
    <w:rsid w:val="005C2188"/>
    <w:rsid w:val="005E2739"/>
    <w:rsid w:val="00607845"/>
    <w:rsid w:val="006205AE"/>
    <w:rsid w:val="006244DA"/>
    <w:rsid w:val="006260BE"/>
    <w:rsid w:val="00630B93"/>
    <w:rsid w:val="006323CA"/>
    <w:rsid w:val="00632DA8"/>
    <w:rsid w:val="00634F9A"/>
    <w:rsid w:val="00636521"/>
    <w:rsid w:val="00644009"/>
    <w:rsid w:val="00681A66"/>
    <w:rsid w:val="00687B75"/>
    <w:rsid w:val="00690DC3"/>
    <w:rsid w:val="006931BC"/>
    <w:rsid w:val="006938FE"/>
    <w:rsid w:val="00697C6E"/>
    <w:rsid w:val="006A226B"/>
    <w:rsid w:val="006B6B45"/>
    <w:rsid w:val="006C44B5"/>
    <w:rsid w:val="006D70E2"/>
    <w:rsid w:val="006F6BA9"/>
    <w:rsid w:val="00711046"/>
    <w:rsid w:val="007346EA"/>
    <w:rsid w:val="00735220"/>
    <w:rsid w:val="00735AEA"/>
    <w:rsid w:val="0074223F"/>
    <w:rsid w:val="007445AC"/>
    <w:rsid w:val="00762AAF"/>
    <w:rsid w:val="007662BE"/>
    <w:rsid w:val="00781AF2"/>
    <w:rsid w:val="0078290C"/>
    <w:rsid w:val="00796EF0"/>
    <w:rsid w:val="00797901"/>
    <w:rsid w:val="007A1850"/>
    <w:rsid w:val="007A65F4"/>
    <w:rsid w:val="007A6E6C"/>
    <w:rsid w:val="007D7E61"/>
    <w:rsid w:val="007E4331"/>
    <w:rsid w:val="00822B40"/>
    <w:rsid w:val="00836E4B"/>
    <w:rsid w:val="00870205"/>
    <w:rsid w:val="00872C78"/>
    <w:rsid w:val="00875DFC"/>
    <w:rsid w:val="00880261"/>
    <w:rsid w:val="00880BA0"/>
    <w:rsid w:val="00883DC9"/>
    <w:rsid w:val="008865EB"/>
    <w:rsid w:val="00893AE5"/>
    <w:rsid w:val="0089744C"/>
    <w:rsid w:val="008B1988"/>
    <w:rsid w:val="008E1C37"/>
    <w:rsid w:val="00910FA2"/>
    <w:rsid w:val="00926624"/>
    <w:rsid w:val="00932C8A"/>
    <w:rsid w:val="00946F1D"/>
    <w:rsid w:val="00950A2C"/>
    <w:rsid w:val="00962BAF"/>
    <w:rsid w:val="00966E29"/>
    <w:rsid w:val="00987461"/>
    <w:rsid w:val="00987B82"/>
    <w:rsid w:val="00987E4E"/>
    <w:rsid w:val="00993BD1"/>
    <w:rsid w:val="009D36B9"/>
    <w:rsid w:val="009D7D6A"/>
    <w:rsid w:val="009E6A03"/>
    <w:rsid w:val="009F617C"/>
    <w:rsid w:val="009F7A86"/>
    <w:rsid w:val="00A10058"/>
    <w:rsid w:val="00A42A24"/>
    <w:rsid w:val="00A4747B"/>
    <w:rsid w:val="00A51541"/>
    <w:rsid w:val="00A5689B"/>
    <w:rsid w:val="00A61E93"/>
    <w:rsid w:val="00A661A4"/>
    <w:rsid w:val="00AB4E16"/>
    <w:rsid w:val="00AD72EB"/>
    <w:rsid w:val="00AE04DE"/>
    <w:rsid w:val="00AF4C2D"/>
    <w:rsid w:val="00B37189"/>
    <w:rsid w:val="00B40592"/>
    <w:rsid w:val="00B439F1"/>
    <w:rsid w:val="00B4445A"/>
    <w:rsid w:val="00B51234"/>
    <w:rsid w:val="00B53105"/>
    <w:rsid w:val="00B53B19"/>
    <w:rsid w:val="00B53DA4"/>
    <w:rsid w:val="00B546B3"/>
    <w:rsid w:val="00B7552F"/>
    <w:rsid w:val="00B75F6F"/>
    <w:rsid w:val="00B942FB"/>
    <w:rsid w:val="00BA594F"/>
    <w:rsid w:val="00BB71DA"/>
    <w:rsid w:val="00BC6127"/>
    <w:rsid w:val="00BD77C2"/>
    <w:rsid w:val="00BE1D50"/>
    <w:rsid w:val="00BE6B8F"/>
    <w:rsid w:val="00BF68BB"/>
    <w:rsid w:val="00C26419"/>
    <w:rsid w:val="00C34AA0"/>
    <w:rsid w:val="00C436B3"/>
    <w:rsid w:val="00C474ED"/>
    <w:rsid w:val="00C52D10"/>
    <w:rsid w:val="00C56E25"/>
    <w:rsid w:val="00C73C59"/>
    <w:rsid w:val="00C80A5F"/>
    <w:rsid w:val="00C91082"/>
    <w:rsid w:val="00C93BEA"/>
    <w:rsid w:val="00C96A94"/>
    <w:rsid w:val="00CB1030"/>
    <w:rsid w:val="00CB3855"/>
    <w:rsid w:val="00CD41F8"/>
    <w:rsid w:val="00CE1DD4"/>
    <w:rsid w:val="00D05DBF"/>
    <w:rsid w:val="00D12F39"/>
    <w:rsid w:val="00D17885"/>
    <w:rsid w:val="00D209F9"/>
    <w:rsid w:val="00D231D4"/>
    <w:rsid w:val="00D2474F"/>
    <w:rsid w:val="00D25A2E"/>
    <w:rsid w:val="00D529A5"/>
    <w:rsid w:val="00D56AA3"/>
    <w:rsid w:val="00D71C22"/>
    <w:rsid w:val="00D7615F"/>
    <w:rsid w:val="00D8388B"/>
    <w:rsid w:val="00DA5685"/>
    <w:rsid w:val="00DB43DC"/>
    <w:rsid w:val="00DC2026"/>
    <w:rsid w:val="00DC39BF"/>
    <w:rsid w:val="00E02F67"/>
    <w:rsid w:val="00E0475F"/>
    <w:rsid w:val="00E07C82"/>
    <w:rsid w:val="00E1294A"/>
    <w:rsid w:val="00E155C4"/>
    <w:rsid w:val="00E44E07"/>
    <w:rsid w:val="00E450F2"/>
    <w:rsid w:val="00E474E5"/>
    <w:rsid w:val="00E5269D"/>
    <w:rsid w:val="00E559DB"/>
    <w:rsid w:val="00E651DD"/>
    <w:rsid w:val="00E72823"/>
    <w:rsid w:val="00E73BEE"/>
    <w:rsid w:val="00E7765D"/>
    <w:rsid w:val="00E8017C"/>
    <w:rsid w:val="00E80FC1"/>
    <w:rsid w:val="00E94A44"/>
    <w:rsid w:val="00E9515B"/>
    <w:rsid w:val="00E96D16"/>
    <w:rsid w:val="00EA4C7F"/>
    <w:rsid w:val="00ED6AD7"/>
    <w:rsid w:val="00EE1191"/>
    <w:rsid w:val="00F15119"/>
    <w:rsid w:val="00F20E81"/>
    <w:rsid w:val="00F23528"/>
    <w:rsid w:val="00F41973"/>
    <w:rsid w:val="00F478AE"/>
    <w:rsid w:val="00F50708"/>
    <w:rsid w:val="00F55497"/>
    <w:rsid w:val="00F56132"/>
    <w:rsid w:val="00F6121C"/>
    <w:rsid w:val="00F6728F"/>
    <w:rsid w:val="00F728B7"/>
    <w:rsid w:val="00F735A3"/>
    <w:rsid w:val="00F96BD6"/>
    <w:rsid w:val="00FA0AF8"/>
    <w:rsid w:val="00FC7181"/>
    <w:rsid w:val="00FD3957"/>
    <w:rsid w:val="00FE0E0D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semiHidden="0" w:uiPriority="99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C2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1744E9"/>
    <w:pPr>
      <w:ind w:left="720"/>
      <w:contextualSpacing/>
    </w:pPr>
  </w:style>
  <w:style w:type="table" w:styleId="ac">
    <w:name w:val="Table Grid"/>
    <w:basedOn w:val="a1"/>
    <w:uiPriority w:val="39"/>
    <w:rsid w:val="002313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39"/>
    <w:rsid w:val="002313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2313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2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semiHidden="0" w:uiPriority="99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C2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1744E9"/>
    <w:pPr>
      <w:ind w:left="720"/>
      <w:contextualSpacing/>
    </w:pPr>
  </w:style>
  <w:style w:type="table" w:styleId="ac">
    <w:name w:val="Table Grid"/>
    <w:basedOn w:val="a1"/>
    <w:uiPriority w:val="39"/>
    <w:rsid w:val="002313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39"/>
    <w:rsid w:val="002313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2313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2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lukavenko\Documents\&#1052;&#1086;&#1080;%20&#1076;&#1086;&#1082;&#1091;&#1084;&#1077;&#1085;&#1090;&#1099;\&#1044;&#1086;&#1083;&#1075;&#1086;&#1074;&#1072;&#1103;%20&#1082;&#1085;&#1080;&#1075;&#1072;\&#1055;&#1086;&#1083;&#1086;&#1078;&#1077;&#1085;&#1080;&#1077;%202019\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E454-1EDF-4D50-8F02-A8CE200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</Template>
  <TotalTime>237</TotalTime>
  <Pages>10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Елена Николаевна Лукавенко</dc:creator>
  <cp:lastModifiedBy>Елена Николаевна Лукавенко</cp:lastModifiedBy>
  <cp:revision>41</cp:revision>
  <cp:lastPrinted>2020-06-10T00:14:00Z</cp:lastPrinted>
  <dcterms:created xsi:type="dcterms:W3CDTF">2020-01-14T05:17:00Z</dcterms:created>
  <dcterms:modified xsi:type="dcterms:W3CDTF">2020-07-03T01:11:00Z</dcterms:modified>
</cp:coreProperties>
</file>