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79" w:rsidRPr="004545E0" w:rsidRDefault="00961E79" w:rsidP="00961E79">
      <w:pPr>
        <w:spacing w:after="0" w:line="240" w:lineRule="auto"/>
        <w:ind w:right="425"/>
        <w:contextualSpacing/>
        <w:jc w:val="right"/>
        <w:rPr>
          <w:rFonts w:ascii="Times New Roman" w:hAnsi="Times New Roman"/>
          <w:bCs/>
          <w:iCs/>
        </w:rPr>
      </w:pPr>
      <w:r w:rsidRPr="004545E0">
        <w:rPr>
          <w:rFonts w:ascii="Times New Roman" w:hAnsi="Times New Roman"/>
          <w:bCs/>
          <w:iCs/>
        </w:rPr>
        <w:t xml:space="preserve">Приложение № </w:t>
      </w:r>
      <w:r>
        <w:rPr>
          <w:rFonts w:ascii="Times New Roman" w:hAnsi="Times New Roman"/>
          <w:bCs/>
          <w:iCs/>
        </w:rPr>
        <w:t>5</w:t>
      </w:r>
    </w:p>
    <w:p w:rsidR="00961E79" w:rsidRPr="004545E0" w:rsidRDefault="00961E79" w:rsidP="00961E79">
      <w:pPr>
        <w:spacing w:after="0" w:line="240" w:lineRule="auto"/>
        <w:ind w:right="425"/>
        <w:contextualSpacing/>
        <w:jc w:val="right"/>
        <w:rPr>
          <w:rFonts w:ascii="Times New Roman" w:hAnsi="Times New Roman"/>
          <w:bCs/>
          <w:iCs/>
        </w:rPr>
      </w:pPr>
      <w:r w:rsidRPr="004545E0">
        <w:rPr>
          <w:rFonts w:ascii="Times New Roman" w:hAnsi="Times New Roman"/>
          <w:bCs/>
          <w:iCs/>
        </w:rPr>
        <w:t>к Порядку предоставления микрозаймов микрокредитной компанией</w:t>
      </w:r>
    </w:p>
    <w:p w:rsidR="00961E79" w:rsidRPr="004545E0" w:rsidRDefault="00961E79" w:rsidP="00961E79">
      <w:pPr>
        <w:spacing w:after="0" w:line="240" w:lineRule="auto"/>
        <w:ind w:right="425"/>
        <w:contextualSpacing/>
        <w:jc w:val="right"/>
        <w:rPr>
          <w:rFonts w:ascii="Times New Roman" w:hAnsi="Times New Roman"/>
          <w:bCs/>
          <w:iCs/>
        </w:rPr>
      </w:pPr>
      <w:r w:rsidRPr="004545E0">
        <w:rPr>
          <w:rFonts w:ascii="Times New Roman" w:hAnsi="Times New Roman"/>
          <w:bCs/>
          <w:iCs/>
        </w:rPr>
        <w:t xml:space="preserve"> «Сахалинский Фонд развития предпринимательства»</w:t>
      </w:r>
    </w:p>
    <w:p w:rsidR="00961E79" w:rsidRPr="004545E0" w:rsidRDefault="00961E79" w:rsidP="00961E79">
      <w:pPr>
        <w:ind w:right="425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4545E0">
        <w:rPr>
          <w:rFonts w:ascii="Times New Roman" w:hAnsi="Times New Roman"/>
          <w:b/>
          <w:bCs/>
          <w:sz w:val="36"/>
          <w:szCs w:val="36"/>
          <w:u w:val="single"/>
        </w:rPr>
        <w:t>Линейка продуктов</w:t>
      </w:r>
    </w:p>
    <w:p w:rsidR="00961E79" w:rsidRPr="008F6490" w:rsidRDefault="00961E79" w:rsidP="00961E79">
      <w:pPr>
        <w:ind w:left="709" w:right="425"/>
        <w:rPr>
          <w:rFonts w:ascii="Times New Roman" w:hAnsi="Times New Roman"/>
          <w:b/>
          <w:bCs/>
          <w:sz w:val="32"/>
          <w:szCs w:val="32"/>
        </w:rPr>
      </w:pPr>
      <w:r w:rsidRPr="008F6490">
        <w:rPr>
          <w:rFonts w:ascii="Times New Roman" w:hAnsi="Times New Roman"/>
          <w:b/>
          <w:bCs/>
          <w:sz w:val="32"/>
          <w:szCs w:val="32"/>
        </w:rPr>
        <w:t>Условия предоставления микрозаймов:</w:t>
      </w: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043"/>
        <w:gridCol w:w="1537"/>
        <w:gridCol w:w="842"/>
        <w:gridCol w:w="2384"/>
        <w:gridCol w:w="1784"/>
        <w:gridCol w:w="3334"/>
      </w:tblGrid>
      <w:tr w:rsidR="00961E79" w:rsidRPr="008F6490" w:rsidTr="00E22C91">
        <w:trPr>
          <w:trHeight w:val="817"/>
          <w:jc w:val="center"/>
        </w:trPr>
        <w:tc>
          <w:tcPr>
            <w:tcW w:w="275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ВИД МИКРОЗАЙМА</w:t>
            </w:r>
          </w:p>
        </w:tc>
        <w:tc>
          <w:tcPr>
            <w:tcW w:w="2043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Целевое назначение микрозайма</w:t>
            </w:r>
          </w:p>
        </w:tc>
        <w:tc>
          <w:tcPr>
            <w:tcW w:w="1537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Максимальная сумма (руб.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Срок (лет) </w:t>
            </w:r>
          </w:p>
        </w:tc>
        <w:tc>
          <w:tcPr>
            <w:tcW w:w="238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Процентная ставка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Обеспечение</w:t>
            </w:r>
          </w:p>
        </w:tc>
        <w:tc>
          <w:tcPr>
            <w:tcW w:w="333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Дополнительные условия</w:t>
            </w:r>
          </w:p>
        </w:tc>
      </w:tr>
      <w:tr w:rsidR="00961E79" w:rsidRPr="008F6490" w:rsidTr="00E22C91">
        <w:trPr>
          <w:trHeight w:val="1085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1"/>
              </w:numPr>
              <w:spacing w:after="0" w:line="240" w:lineRule="auto"/>
              <w:ind w:left="172" w:firstLine="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«ИНВЕСТИЦИОННЫЙ» </w:t>
            </w:r>
          </w:p>
          <w:p w:rsidR="00961E79" w:rsidRPr="008F6490" w:rsidRDefault="00961E79" w:rsidP="00E22C91">
            <w:pPr>
              <w:spacing w:after="0" w:line="240" w:lineRule="auto"/>
              <w:ind w:firstLine="447"/>
              <w:contextualSpacing/>
              <w:rPr>
                <w:rFonts w:ascii="Times New Roman" w:hAnsi="Times New Roman"/>
              </w:rPr>
            </w:pPr>
          </w:p>
          <w:p w:rsidR="00961E79" w:rsidRPr="008F6490" w:rsidRDefault="00961E79" w:rsidP="00E22C91">
            <w:pPr>
              <w:autoSpaceDE w:val="0"/>
              <w:autoSpaceDN w:val="0"/>
              <w:adjustRightInd w:val="0"/>
              <w:spacing w:after="0" w:line="240" w:lineRule="auto"/>
              <w:ind w:right="-2" w:firstLine="16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Инвестиционные цели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5 000 000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961E79" w:rsidRPr="008F6490" w:rsidRDefault="00961E79" w:rsidP="008F6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3 года</w:t>
            </w:r>
            <w:r w:rsidR="008F610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61E7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7% годовых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Для Заемщиков, деятельность которых относится к приоритетным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проектам, кроме самозанятых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Pr="0000762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1085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61E79" w:rsidRPr="008F6490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8,0</w:t>
            </w:r>
            <w:r w:rsidR="00961E79"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годовых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Для Заемщиков, осуществляющих деятельность в </w:t>
            </w:r>
            <w:proofErr w:type="spellStart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с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ф</w:t>
            </w:r>
            <w:proofErr w:type="spellEnd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ерах розничной и оптовой торговли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, за исключением приоритетных проектов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Pr="0000762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1085"/>
          <w:jc w:val="center"/>
        </w:trPr>
        <w:tc>
          <w:tcPr>
            <w:tcW w:w="2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ind w:left="589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7,8</w:t>
            </w:r>
            <w:r w:rsidR="00961E79"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% годовых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Ликвидный залог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Для Заемщиков, деятельность которых относится к прочим проектам, за исключением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розничной и оптовой торговли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00762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1280"/>
          <w:jc w:val="center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ind w:left="589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  <w:p w:rsidR="00961E79" w:rsidRPr="008F6490" w:rsidRDefault="00961E79" w:rsidP="00961E79">
            <w:pPr>
              <w:numPr>
                <w:ilvl w:val="0"/>
                <w:numId w:val="1"/>
              </w:numPr>
              <w:spacing w:after="0" w:line="240" w:lineRule="auto"/>
              <w:ind w:left="172" w:hanging="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«НА ОБОРОТНЫЕ СРЕДСТВА»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Пополнение оборотных средств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5 000 000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 года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E421B9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7,0% годовых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ind w:left="-17" w:firstLine="1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Для Заемщиков, деятельность которых относится к приоритетным проектам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, кроме самозанятых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Pr="0000762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1746"/>
          <w:jc w:val="center"/>
        </w:trPr>
        <w:tc>
          <w:tcPr>
            <w:tcW w:w="275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</w:t>
            </w:r>
            <w:r w:rsidR="00961E79"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,5 % годовых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Для Заемщиков, осуществляющих деятельность в сферах розничной и оптовой торговли, за исключением приоритетных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627">
              <w:rPr>
                <w:rFonts w:ascii="Times New Roman" w:hAnsi="Times New Roman"/>
                <w:sz w:val="24"/>
                <w:szCs w:val="24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921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ind w:left="589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961E79" w:rsidRPr="008F6490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</w:t>
            </w:r>
            <w:r w:rsidR="00961E79"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,0% годовых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Для Заемщиков, деятельность которых относится к прочим проектам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627">
              <w:rPr>
                <w:rFonts w:ascii="Times New Roman" w:hAnsi="Times New Roman"/>
                <w:sz w:val="24"/>
                <w:szCs w:val="24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535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ind w:left="172" w:hanging="8"/>
              <w:contextualSpacing/>
              <w:rPr>
                <w:rFonts w:ascii="Times New Roman" w:hAnsi="Times New Roman"/>
              </w:rPr>
            </w:pPr>
            <w:r w:rsidRPr="008F6490">
              <w:rPr>
                <w:rFonts w:ascii="Times New Roman" w:hAnsi="Times New Roman"/>
                <w:b/>
                <w:bCs/>
              </w:rPr>
              <w:t xml:space="preserve">3. </w:t>
            </w:r>
            <w:r w:rsidRPr="008F6490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ПРОЕКТА «РЕГИОНАЛЬНЫЙ ПРОДУКТ «ДОСТУПНАЯ РЫБА»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Инвестиционные цели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5 000 000</w:t>
            </w:r>
          </w:p>
          <w:p w:rsidR="00961E79" w:rsidRPr="008F6490" w:rsidRDefault="00961E79" w:rsidP="00E22C9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8F6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3 года</w:t>
            </w:r>
            <w:r w:rsidR="008F610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61E79" w:rsidRPr="00E421B9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7% годовых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961E79" w:rsidRPr="00007627" w:rsidRDefault="00961E79" w:rsidP="00E22C91">
            <w:pPr>
              <w:spacing w:after="0" w:line="240" w:lineRule="auto"/>
              <w:ind w:hanging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Устойчивое финансовое положение, СМСП состоит в утвержденном межведомственной комиссией Реестре участников проекта «Региональный продукт «Доступная рыба»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</w:t>
            </w:r>
            <w:r w:rsidRPr="0000762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1368"/>
          <w:jc w:val="center"/>
        </w:trPr>
        <w:tc>
          <w:tcPr>
            <w:tcW w:w="275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Пополнение оборотных средств</w:t>
            </w:r>
          </w:p>
        </w:tc>
        <w:tc>
          <w:tcPr>
            <w:tcW w:w="1537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2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года</w:t>
            </w:r>
          </w:p>
        </w:tc>
        <w:tc>
          <w:tcPr>
            <w:tcW w:w="238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961E79" w:rsidRPr="008F6490" w:rsidTr="00E22C91">
        <w:trPr>
          <w:trHeight w:val="959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ind w:left="164"/>
              <w:contextualSpacing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4. 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«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ЛЕГКИЙ СТАРТ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»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(</w:t>
            </w:r>
            <w:r w:rsidRPr="008F6490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x-none"/>
              </w:rPr>
              <w:t>с момента регистрации в реестре ЮЛ или ИП прошло не менее 3-х  и не более 6-ти месяцев</w:t>
            </w:r>
            <w:r w:rsidRPr="008F6490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val="x-none" w:eastAsia="x-none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Инвестиционные цели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2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>00 000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8F6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3 года</w:t>
            </w:r>
            <w:r w:rsidR="008F610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61E79" w:rsidRPr="008F6490" w:rsidRDefault="00E421B9" w:rsidP="00E421B9">
            <w:pPr>
              <w:spacing w:beforeAutospacing="1" w:after="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4,0%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годовых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Ликвидный залог и/или поручительство физических лиц (наличие справки 2-НДФЛ)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961E79" w:rsidRPr="008F6490" w:rsidRDefault="00961E79" w:rsidP="00771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Приорит</w:t>
            </w:r>
            <w:r w:rsidR="0077133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етные и неприоритетные проекты с предоставлением анкеты-заявления по форме приложения № 4 к Порядку</w:t>
            </w:r>
          </w:p>
        </w:tc>
      </w:tr>
      <w:tr w:rsidR="00961E79" w:rsidRPr="008F6490" w:rsidTr="00E22C91">
        <w:trPr>
          <w:trHeight w:val="958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1"/>
              </w:numPr>
              <w:spacing w:after="0" w:line="240" w:lineRule="auto"/>
              <w:ind w:left="306" w:hanging="142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Пополнение оборотных средств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 года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961E79" w:rsidRPr="008F6490" w:rsidTr="00E22C91">
        <w:trPr>
          <w:trHeight w:val="409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2"/>
              </w:numPr>
              <w:spacing w:after="0" w:line="240" w:lineRule="auto"/>
              <w:ind w:left="172" w:firstLine="0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«РАЗВИТИЕ»</w:t>
            </w:r>
          </w:p>
          <w:p w:rsidR="00961E79" w:rsidRPr="008F6490" w:rsidRDefault="00961E79" w:rsidP="00E22C91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x-none" w:eastAsia="x-none"/>
              </w:rPr>
              <w:t xml:space="preserve">(с момента регистрации в реестре ЮЛ или ИП прошло не менее </w:t>
            </w:r>
            <w:r w:rsidRPr="008F64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x-none"/>
              </w:rPr>
              <w:t>6</w:t>
            </w:r>
            <w:r w:rsidRPr="008F64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x-none" w:eastAsia="x-none"/>
              </w:rPr>
              <w:t>-</w:t>
            </w:r>
            <w:proofErr w:type="spellStart"/>
            <w:r w:rsidRPr="008F64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x-none"/>
              </w:rPr>
              <w:t>ти</w:t>
            </w:r>
            <w:proofErr w:type="spellEnd"/>
            <w:r w:rsidRPr="008F649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x-none" w:eastAsia="x-none"/>
              </w:rPr>
              <w:t xml:space="preserve">  и не более 12-ти месяцев)</w:t>
            </w:r>
          </w:p>
        </w:tc>
        <w:tc>
          <w:tcPr>
            <w:tcW w:w="2043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Инвестиционные цели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1 000 000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8F6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3 года</w:t>
            </w:r>
            <w:r w:rsidR="008F610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61E79" w:rsidRPr="008F6490" w:rsidRDefault="00E421B9" w:rsidP="00E421B9">
            <w:pPr>
              <w:spacing w:beforeAutospacing="1" w:after="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E421B9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4,0% годовых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Ликвидный залог и/или поручительство физических лиц (наличие справки 2-НДФЛ)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Приоритетные и неприоритетные проекты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, ведение деятельности не менее 6 месяцев (наличие финансовых данных для проведения оценки деятельности СМСП). </w:t>
            </w:r>
          </w:p>
        </w:tc>
      </w:tr>
      <w:tr w:rsidR="00961E79" w:rsidRPr="008F6490" w:rsidTr="00E22C91">
        <w:trPr>
          <w:trHeight w:val="408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2"/>
              </w:numPr>
              <w:spacing w:after="0" w:line="240" w:lineRule="auto"/>
              <w:ind w:left="22" w:firstLine="150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043" w:type="dxa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Пополнение оборотных средств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 года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961E79" w:rsidRPr="008F6490" w:rsidTr="00E22C91">
        <w:trPr>
          <w:trHeight w:val="614"/>
          <w:jc w:val="center"/>
        </w:trPr>
        <w:tc>
          <w:tcPr>
            <w:tcW w:w="2754" w:type="dxa"/>
            <w:vMerge w:val="restart"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2"/>
              </w:numPr>
              <w:spacing w:after="0" w:line="240" w:lineRule="auto"/>
              <w:ind w:left="172" w:firstLine="0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«САМОЗАНЯ-ТОСТЬ»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На предпринимательские цели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150 000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961E79" w:rsidRPr="008F6490" w:rsidRDefault="00961E79" w:rsidP="008F6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3 года</w:t>
            </w:r>
            <w:r w:rsidR="008F6102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61E79" w:rsidRPr="008F6490" w:rsidRDefault="00E421B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E421B9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4,0% годовых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Без залога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Для физических лиц, применяющих специальный налоговый режим «Налог на профессиональный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lastRenderedPageBreak/>
              <w:t>доход», подтверждающих свою деятельность за срок не менее 3-х месяцев</w:t>
            </w:r>
          </w:p>
        </w:tc>
      </w:tr>
      <w:tr w:rsidR="00961E79" w:rsidRPr="008F6490" w:rsidTr="00E22C91">
        <w:trPr>
          <w:trHeight w:val="967"/>
          <w:jc w:val="center"/>
        </w:trPr>
        <w:tc>
          <w:tcPr>
            <w:tcW w:w="2754" w:type="dxa"/>
            <w:vMerge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2"/>
              </w:numPr>
              <w:spacing w:after="0" w:line="240" w:lineRule="auto"/>
              <w:ind w:left="172" w:firstLine="0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500 000</w:t>
            </w: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Ликвидный залог и/или </w:t>
            </w:r>
            <w:proofErr w:type="spellStart"/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поручительст</w:t>
            </w:r>
            <w:proofErr w:type="spellEnd"/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-во физических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lastRenderedPageBreak/>
              <w:t>лиц (наличие справки 2-НДФЛ)</w:t>
            </w:r>
          </w:p>
        </w:tc>
        <w:tc>
          <w:tcPr>
            <w:tcW w:w="3334" w:type="dxa"/>
            <w:vMerge/>
            <w:shd w:val="clear" w:color="auto" w:fill="auto"/>
          </w:tcPr>
          <w:p w:rsidR="00961E79" w:rsidRPr="008F6490" w:rsidRDefault="00961E79" w:rsidP="00E22C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</w:tr>
      <w:tr w:rsidR="00E421B9" w:rsidRPr="008F6490" w:rsidTr="00390DCB">
        <w:trPr>
          <w:trHeight w:val="745"/>
          <w:jc w:val="center"/>
        </w:trPr>
        <w:tc>
          <w:tcPr>
            <w:tcW w:w="2754" w:type="dxa"/>
            <w:vMerge w:val="restart"/>
            <w:shd w:val="clear" w:color="auto" w:fill="auto"/>
          </w:tcPr>
          <w:p w:rsidR="00E421B9" w:rsidRPr="008F6490" w:rsidRDefault="00E421B9" w:rsidP="00E421B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«ЛОЯЛЬНОСТЬ» </w:t>
            </w:r>
          </w:p>
          <w:p w:rsidR="00E421B9" w:rsidRPr="008F6490" w:rsidRDefault="00E421B9" w:rsidP="00E421B9">
            <w:pPr>
              <w:spacing w:after="0" w:line="240" w:lineRule="auto"/>
              <w:ind w:left="172"/>
              <w:contextualSpacing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(</w:t>
            </w:r>
            <w:r w:rsidRPr="008F64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x-none" w:eastAsia="x-none"/>
              </w:rPr>
              <w:t>для всех групп СМСП – постоянных клиентов МКК «СФРП»)</w:t>
            </w:r>
          </w:p>
        </w:tc>
        <w:tc>
          <w:tcPr>
            <w:tcW w:w="2043" w:type="dxa"/>
            <w:shd w:val="clear" w:color="auto" w:fill="auto"/>
          </w:tcPr>
          <w:p w:rsidR="00E421B9" w:rsidRPr="00E421B9" w:rsidRDefault="00E421B9" w:rsidP="00E421B9">
            <w:pPr>
              <w:rPr>
                <w:rFonts w:ascii="Times New Roman" w:hAnsi="Times New Roman"/>
                <w:sz w:val="24"/>
                <w:szCs w:val="24"/>
              </w:rPr>
            </w:pPr>
            <w:r w:rsidRPr="00E421B9">
              <w:rPr>
                <w:rFonts w:ascii="Times New Roman" w:hAnsi="Times New Roman"/>
                <w:sz w:val="24"/>
                <w:szCs w:val="24"/>
              </w:rPr>
              <w:t xml:space="preserve"> Инвестиционные цели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>5</w:t>
            </w:r>
            <w:r w:rsidRPr="008F64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  <w:t xml:space="preserve"> 000 000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421B9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3</w:t>
            </w:r>
            <w:r w:rsidRPr="00E421B9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года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10</w:t>
            </w:r>
            <w:r w:rsidRPr="00E421B9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,0% годовых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proofErr w:type="spellStart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Беззалоговый</w:t>
            </w:r>
            <w:proofErr w:type="spellEnd"/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.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п</w:t>
            </w:r>
            <w:proofErr w:type="spellStart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оручитель</w:t>
            </w:r>
            <w:proofErr w:type="spellEnd"/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ство</w:t>
            </w:r>
            <w:proofErr w:type="spellEnd"/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собственников бизнеса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Устойчивое финансовое положение</w:t>
            </w:r>
            <w:r w:rsidRPr="008F649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, положительная кредитная история в МКК «СФРП»</w:t>
            </w:r>
          </w:p>
        </w:tc>
      </w:tr>
      <w:tr w:rsidR="00E421B9" w:rsidRPr="008F6490" w:rsidTr="00390DCB">
        <w:trPr>
          <w:trHeight w:val="744"/>
          <w:jc w:val="center"/>
        </w:trPr>
        <w:tc>
          <w:tcPr>
            <w:tcW w:w="2754" w:type="dxa"/>
            <w:vMerge/>
            <w:shd w:val="clear" w:color="auto" w:fill="auto"/>
          </w:tcPr>
          <w:p w:rsidR="00E421B9" w:rsidRPr="008F6490" w:rsidRDefault="00E421B9" w:rsidP="00E421B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  <w:shd w:val="clear" w:color="auto" w:fill="auto"/>
          </w:tcPr>
          <w:p w:rsidR="00E421B9" w:rsidRPr="00E421B9" w:rsidRDefault="00E421B9" w:rsidP="00E421B9">
            <w:pPr>
              <w:rPr>
                <w:rFonts w:ascii="Times New Roman" w:hAnsi="Times New Roman"/>
                <w:sz w:val="24"/>
                <w:szCs w:val="24"/>
              </w:rPr>
            </w:pPr>
            <w:r w:rsidRPr="00E421B9">
              <w:rPr>
                <w:rFonts w:ascii="Times New Roman" w:hAnsi="Times New Roman"/>
                <w:sz w:val="24"/>
                <w:szCs w:val="24"/>
              </w:rPr>
              <w:t>Пополнение оборотных средств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E421B9" w:rsidRPr="00E421B9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 года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E421B9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E421B9" w:rsidRPr="008F6490" w:rsidRDefault="00E421B9" w:rsidP="00E421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961E79" w:rsidRPr="008F6490" w:rsidTr="00E22C91">
        <w:trPr>
          <w:trHeight w:val="2687"/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961E79" w:rsidRPr="008F6490" w:rsidRDefault="00961E79" w:rsidP="00961E79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ind w:left="164" w:firstLine="8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bookmarkStart w:id="1" w:name="_Hlk66780098"/>
            <w:r w:rsidRPr="008F6490"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  <w:t xml:space="preserve">«ПРОИЗВОДИ-ТЕЛЬНОСТЬ ТРУДА» </w:t>
            </w:r>
          </w:p>
        </w:tc>
        <w:tc>
          <w:tcPr>
            <w:tcW w:w="2043" w:type="dxa"/>
            <w:shd w:val="clear" w:color="auto" w:fill="auto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Развитие бизнеса компаний  (субъектов МСП) – участников Национального проекта «Производительность труда»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61E79" w:rsidRPr="008F6490" w:rsidRDefault="00961E79" w:rsidP="00E22C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6490">
              <w:rPr>
                <w:rFonts w:ascii="Times New Roman" w:hAnsi="Times New Roman"/>
                <w:b/>
                <w:sz w:val="24"/>
                <w:szCs w:val="24"/>
              </w:rPr>
              <w:t xml:space="preserve">5 000 000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961E79" w:rsidRPr="008F6490" w:rsidRDefault="00961E79" w:rsidP="008F6102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3 года</w:t>
            </w:r>
            <w:r w:rsidR="008F6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E79" w:rsidRPr="008F6490" w:rsidRDefault="00E421B9" w:rsidP="008F6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21B9">
              <w:rPr>
                <w:rFonts w:ascii="Times New Roman" w:hAnsi="Times New Roman"/>
                <w:sz w:val="24"/>
                <w:szCs w:val="24"/>
              </w:rPr>
              <w:t>,0% годовых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Ликвидный залог</w:t>
            </w:r>
          </w:p>
        </w:tc>
        <w:tc>
          <w:tcPr>
            <w:tcW w:w="3334" w:type="dxa"/>
            <w:shd w:val="clear" w:color="auto" w:fill="auto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 xml:space="preserve">Устойчивое финансовое положение, на дату обращения в Фонд за займом с компанией заключено соглашение о взаимодействии при реализации мероприятий Национального проекта «Производительность труда» </w:t>
            </w:r>
          </w:p>
        </w:tc>
      </w:tr>
      <w:tr w:rsidR="00961E79" w:rsidRPr="008F6490" w:rsidTr="00E22C91">
        <w:trPr>
          <w:trHeight w:val="501"/>
          <w:jc w:val="center"/>
        </w:trPr>
        <w:tc>
          <w:tcPr>
            <w:tcW w:w="2754" w:type="dxa"/>
            <w:vMerge w:val="restart"/>
            <w:vAlign w:val="center"/>
          </w:tcPr>
          <w:p w:rsidR="00961E79" w:rsidRPr="008F6490" w:rsidRDefault="00961E79" w:rsidP="00E22C91">
            <w:pPr>
              <w:tabs>
                <w:tab w:val="left" w:pos="164"/>
              </w:tabs>
              <w:spacing w:before="100" w:beforeAutospacing="1" w:after="0" w:afterAutospacing="1" w:line="36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</w:pPr>
            <w:r w:rsidRPr="008F6490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  <w:t>9. «СОЦИАЛЬНОЕ ПРЕДПРИНИМА</w:t>
            </w:r>
            <w:r w:rsidRPr="008F6490"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  <w:t>-</w:t>
            </w:r>
            <w:r w:rsidRPr="008F6490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  <w:t>ТЕЛЬСТВО»</w:t>
            </w:r>
          </w:p>
        </w:tc>
        <w:tc>
          <w:tcPr>
            <w:tcW w:w="2043" w:type="dxa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Инвестиционные цели</w:t>
            </w:r>
          </w:p>
        </w:tc>
        <w:tc>
          <w:tcPr>
            <w:tcW w:w="1537" w:type="dxa"/>
            <w:vMerge w:val="restart"/>
            <w:vAlign w:val="center"/>
          </w:tcPr>
          <w:p w:rsidR="00961E79" w:rsidRPr="008F6490" w:rsidRDefault="00961E79" w:rsidP="00E22C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6490">
              <w:rPr>
                <w:rFonts w:ascii="Times New Roman" w:hAnsi="Times New Roman"/>
                <w:b/>
                <w:sz w:val="24"/>
                <w:szCs w:val="24"/>
              </w:rPr>
              <w:t>5 000 000</w:t>
            </w:r>
          </w:p>
        </w:tc>
        <w:tc>
          <w:tcPr>
            <w:tcW w:w="842" w:type="dxa"/>
            <w:vAlign w:val="center"/>
          </w:tcPr>
          <w:p w:rsidR="00961E79" w:rsidRPr="008F6490" w:rsidRDefault="00961E79" w:rsidP="008F6102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3 года</w:t>
            </w:r>
            <w:r w:rsidR="008F6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vMerge w:val="restart"/>
            <w:vAlign w:val="center"/>
          </w:tcPr>
          <w:p w:rsidR="00961E79" w:rsidRPr="008F6490" w:rsidRDefault="00E421B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E421B9">
              <w:rPr>
                <w:rFonts w:ascii="Times New Roman" w:hAnsi="Times New Roman"/>
                <w:sz w:val="24"/>
                <w:szCs w:val="24"/>
              </w:rPr>
              <w:t>4,0% годовых</w:t>
            </w:r>
          </w:p>
        </w:tc>
        <w:tc>
          <w:tcPr>
            <w:tcW w:w="1784" w:type="dxa"/>
            <w:vMerge w:val="restart"/>
            <w:vAlign w:val="center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Ликвидный залог</w:t>
            </w:r>
          </w:p>
        </w:tc>
        <w:tc>
          <w:tcPr>
            <w:tcW w:w="3334" w:type="dxa"/>
            <w:vMerge w:val="restart"/>
            <w:shd w:val="clear" w:color="auto" w:fill="auto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Устойчивое финансовое положение и нахождение в реестре социальных 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627">
              <w:rPr>
                <w:rFonts w:ascii="Times New Roman" w:hAnsi="Times New Roman"/>
                <w:sz w:val="24"/>
                <w:szCs w:val="24"/>
              </w:rPr>
              <w:t>срок деятельности которых более 12 месяцев</w:t>
            </w:r>
          </w:p>
        </w:tc>
      </w:tr>
      <w:tr w:rsidR="00961E79" w:rsidRPr="008F6490" w:rsidTr="00E22C91">
        <w:trPr>
          <w:trHeight w:val="939"/>
          <w:jc w:val="center"/>
        </w:trPr>
        <w:tc>
          <w:tcPr>
            <w:tcW w:w="2754" w:type="dxa"/>
            <w:vMerge/>
          </w:tcPr>
          <w:p w:rsidR="00961E79" w:rsidRPr="008F6490" w:rsidRDefault="00961E79" w:rsidP="00E22C91">
            <w:pPr>
              <w:tabs>
                <w:tab w:val="left" w:pos="0"/>
              </w:tabs>
              <w:spacing w:before="100" w:beforeAutospacing="1" w:after="0" w:afterAutospacing="1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043" w:type="dxa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Пополнение оборотных средств</w:t>
            </w:r>
          </w:p>
        </w:tc>
        <w:tc>
          <w:tcPr>
            <w:tcW w:w="1537" w:type="dxa"/>
            <w:vMerge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  <w:r w:rsidRPr="008F6490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384" w:type="dxa"/>
            <w:vMerge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  <w:shd w:val="clear" w:color="auto" w:fill="auto"/>
          </w:tcPr>
          <w:p w:rsidR="00961E79" w:rsidRPr="008F6490" w:rsidRDefault="00961E79" w:rsidP="00E22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AB2002" w:rsidRDefault="00AB2002"/>
    <w:sectPr w:rsidR="00AB2002" w:rsidSect="0073613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1A6E"/>
    <w:multiLevelType w:val="hybridMultilevel"/>
    <w:tmpl w:val="1C5438BA"/>
    <w:lvl w:ilvl="0" w:tplc="9B1E7CAA">
      <w:start w:val="5"/>
      <w:numFmt w:val="decimal"/>
      <w:lvlText w:val="%1."/>
      <w:lvlJc w:val="left"/>
      <w:pPr>
        <w:ind w:left="5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627B5DEA"/>
    <w:multiLevelType w:val="hybridMultilevel"/>
    <w:tmpl w:val="D878F0C6"/>
    <w:lvl w:ilvl="0" w:tplc="69AA378A">
      <w:start w:val="1"/>
      <w:numFmt w:val="decimal"/>
      <w:lvlText w:val="%1."/>
      <w:lvlJc w:val="left"/>
      <w:pPr>
        <w:ind w:left="34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9"/>
    <w:rsid w:val="00145648"/>
    <w:rsid w:val="00560D92"/>
    <w:rsid w:val="0073613D"/>
    <w:rsid w:val="00771332"/>
    <w:rsid w:val="008F6102"/>
    <w:rsid w:val="00961E79"/>
    <w:rsid w:val="00AA38A3"/>
    <w:rsid w:val="00AB2002"/>
    <w:rsid w:val="00E4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791B-5040-499C-93C9-2855289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ime New Roman 14"/>
    <w:qFormat/>
    <w:rsid w:val="00961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1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Черняго Людмила Ярославовна</dc:creator>
  <cp:keywords/>
  <dc:description/>
  <cp:lastModifiedBy>Чуйкина Анастасия Александровна</cp:lastModifiedBy>
  <cp:revision>2</cp:revision>
  <cp:lastPrinted>2022-02-07T06:17:00Z</cp:lastPrinted>
  <dcterms:created xsi:type="dcterms:W3CDTF">2022-02-07T06:17:00Z</dcterms:created>
  <dcterms:modified xsi:type="dcterms:W3CDTF">2022-02-07T06:17:00Z</dcterms:modified>
</cp:coreProperties>
</file>